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D00" w:rsidRDefault="006E7D00">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6E7D00" w:rsidRPr="006E7D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27.04.2026</w:t>
            </w:r>
          </w:p>
        </w:tc>
      </w:tr>
      <w:tr w:rsidR="006E7D00" w:rsidRPr="006E7D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(дата реєстрації особою електронного документа)</w:t>
            </w:r>
          </w:p>
        </w:tc>
      </w:tr>
      <w:tr w:rsidR="006E7D00" w:rsidRPr="006E7D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27/04-2026</w:t>
            </w:r>
          </w:p>
        </w:tc>
      </w:tr>
      <w:tr w:rsidR="006E7D00" w:rsidRPr="006E7D00">
        <w:tblPrEx>
          <w:tblCellMar>
            <w:top w:w="0" w:type="dxa"/>
            <w:bottom w:w="0" w:type="dxa"/>
          </w:tblCellMar>
        </w:tblPrEx>
        <w:trPr>
          <w:trHeight w:val="300"/>
        </w:trPr>
        <w:tc>
          <w:tcPr>
            <w:tcW w:w="5230" w:type="dxa"/>
            <w:tcBorders>
              <w:top w:val="nil"/>
              <w:left w:val="nil"/>
              <w:bottom w:val="nil"/>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(вихідний реєстраційний номер електронного документа)</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6E7D00" w:rsidRPr="006E7D00">
        <w:tblPrEx>
          <w:tblCellMar>
            <w:top w:w="0" w:type="dxa"/>
            <w:bottom w:w="0" w:type="dxa"/>
          </w:tblCellMar>
        </w:tblPrEx>
        <w:trPr>
          <w:trHeight w:val="300"/>
        </w:trPr>
        <w:tc>
          <w:tcPr>
            <w:tcW w:w="10465" w:type="dxa"/>
            <w:tcBorders>
              <w:top w:val="nil"/>
              <w:left w:val="nil"/>
              <w:bottom w:val="nil"/>
              <w:right w:val="nil"/>
            </w:tcBorders>
            <w:vAlign w:val="bottom"/>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6E7D00" w:rsidRPr="006E7D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Директор</w:t>
            </w:r>
          </w:p>
        </w:tc>
        <w:tc>
          <w:tcPr>
            <w:tcW w:w="216"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334"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216"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284"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Самолюк С.I.</w:t>
            </w:r>
          </w:p>
        </w:tc>
      </w:tr>
      <w:tr w:rsidR="006E7D00" w:rsidRPr="006E7D00">
        <w:tblPrEx>
          <w:tblCellMar>
            <w:top w:w="0" w:type="dxa"/>
            <w:bottom w:w="0" w:type="dxa"/>
          </w:tblCellMar>
        </w:tblPrEx>
        <w:trPr>
          <w:trHeight w:val="200"/>
        </w:trPr>
        <w:tc>
          <w:tcPr>
            <w:tcW w:w="3415"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(посада)</w:t>
            </w:r>
          </w:p>
        </w:tc>
        <w:tc>
          <w:tcPr>
            <w:tcW w:w="216"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334"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284" w:type="dxa"/>
            <w:tcBorders>
              <w:top w:val="nil"/>
              <w:left w:val="nil"/>
              <w:bottom w:val="nil"/>
              <w:right w:val="nil"/>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(прізвище та ініціали керівника або уповноваженої особи)</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"БАЛТСЬКЕ ХЛIБОПРИЙМАЛЬНЕ ПIДПРИЄМСТВО " (00955213)</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Наглядової ради емітента від 28.04.2026, Протокол №28/04-2026</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6E7D00" w:rsidRPr="006E7D00">
        <w:tblPrEx>
          <w:tblCellMar>
            <w:top w:w="0" w:type="dxa"/>
            <w:bottom w:w="0" w:type="dxa"/>
          </w:tblCellMar>
        </w:tblPrEx>
        <w:trPr>
          <w:trHeight w:val="300"/>
        </w:trPr>
        <w:tc>
          <w:tcPr>
            <w:tcW w:w="3415" w:type="dxa"/>
            <w:vMerge w:val="restart"/>
            <w:tcBorders>
              <w:top w:val="nil"/>
              <w:left w:val="nil"/>
              <w:bottom w:val="nil"/>
              <w:right w:val="nil"/>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http://balta-hpp.com.ua</w:t>
            </w:r>
          </w:p>
        </w:tc>
        <w:tc>
          <w:tcPr>
            <w:tcW w:w="1885" w:type="dxa"/>
            <w:tcBorders>
              <w:top w:val="nil"/>
              <w:left w:val="nil"/>
              <w:bottom w:val="single" w:sz="6" w:space="0" w:color="auto"/>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28.04.2026</w:t>
            </w:r>
          </w:p>
        </w:tc>
      </w:tr>
      <w:tr w:rsidR="006E7D00" w:rsidRPr="006E7D00">
        <w:tblPrEx>
          <w:tblCellMar>
            <w:top w:w="0" w:type="dxa"/>
            <w:bottom w:w="0" w:type="dxa"/>
          </w:tblCellMar>
        </w:tblPrEx>
        <w:trPr>
          <w:trHeight w:val="300"/>
        </w:trPr>
        <w:tc>
          <w:tcPr>
            <w:tcW w:w="3415" w:type="dxa"/>
            <w:vMerge/>
            <w:tcBorders>
              <w:top w:val="nil"/>
              <w:left w:val="nil"/>
              <w:bottom w:val="nil"/>
              <w:right w:val="nil"/>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0"/>
                <w:szCs w:val="20"/>
              </w:rPr>
            </w:pPr>
          </w:p>
        </w:tc>
        <w:tc>
          <w:tcPr>
            <w:tcW w:w="5165" w:type="dxa"/>
            <w:tcBorders>
              <w:top w:val="nil"/>
              <w:left w:val="nil"/>
              <w:bottom w:val="nil"/>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(URL-адреса вебсайту)</w:t>
            </w:r>
          </w:p>
        </w:tc>
        <w:tc>
          <w:tcPr>
            <w:tcW w:w="1885" w:type="dxa"/>
            <w:tcBorders>
              <w:top w:val="nil"/>
              <w:left w:val="nil"/>
              <w:bottom w:val="nil"/>
              <w:right w:val="nil"/>
            </w:tcBorders>
            <w:vAlign w:val="bottom"/>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(дата)</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sectPr w:rsidR="006E7D00">
          <w:headerReference w:type="default" r:id="rId6"/>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Товариство не визначало та не оновлювало рейтинги у звiтному перiодi.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у звiтному перiодi судових справ, за якими розглядаються позовнi вимоги у розмiрi на суму 1 та бiльше вiдсоткiв активiв Товариства станом на початок звiтного року, не було.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Регiональне вiддiлення ФДМУ по Одеськiй областi - 3 573 200 акцiй (28,7%),</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Органiзацiя орендарiв Балтського орендного хлiбоприймального пiдприємства - 8 894 400 акцiй (71,3%)</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корпоративний секретар не обирався та не призначався.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одержанi лiцензiї (дозволи) на окремi види дiяльностi не надається, тому що приватнi акцiонернi товариства не розкривають iнформацiю про лiцензiї (дозволи).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та Iнформацiя про собiвартiсть реалiзованої продукцiї не надається, тому що Товариство не вiдноситься до пiдприємств, якi займаються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про участь емiтента в iнших юридичних особах вiдсутня, тому що юридичних осiб, в яких емiтенту належить бiльше 5% акцiй (часток,паїв) немає.</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змiну прав на акцiї (змiну акцiонерiв, яким належать голосуючi акцiї, розмiр пакета яких стає бiльшим, меншим або рiвним пороговому значенню пакета акцiй; змiну осiб, яким належить право голосу за акцiями, сумарна кiлькiсть прав за якими стає бiльшою, меншою або рiвною пороговому значенню пакета акцiй; змiну осiб, якi є власниками фiнансових iнструментiв, пов'язаних з голосуючими акцiями акцiонерного товариства, у разi, якщо сумарна кiлькiсть прав за такими акцiями стає бiльшою, меншою або рiвною пороговому значенню пакета акцiй) не надається, тому що таких змiн не було.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паперiв не надається, тому що Товариство не випускало забезпечених боргових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емiтента акцiй  у розмiрi понад 0,1 вiдсотка розмiру статутного капiталу не надається, тому що працiвникi емiтента не володiють акцiями у розмiрi понад 0,1 вiдсотка статутного капiталу.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власникiв пакетiв 5 i бiльше вiдсоткiв акцiй вiдповiдно до вимог пункту 8частини 3 статтi 126 Закону України "Про ринки капiталу та органiзованi товарнi ринки", така iнформацiя наводиться нижче:</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Приватне товариство з обмеженою вiдповiдальнiстю "Ренеско Б.В.", НIДЕРЛАНДИ, володiє 11 876 405 простими iменними акцiями, що становить 95,258% вiд загальної кiлькостi акцiй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осiб, розмiр пакета яких стає бiльшим, меншим або рiвним пороговому значенню пакета акцiй, Iнформацiя про змiну осiб, яким належить право голосу за акцiями, сумарна кiлькiсть прав за якими стає бiльшою, меншиою або рiвною пороговому значенню пакета акцiй, не надається, так як пiдпунктом 5 п.48 предбачено, що таку iнформацiю не розкривають приватнi акцiонернi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не надається, тому що власники фiнансових iнструментiв вiдсутнi.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аудиторський звiт та текст аудиторського звiту не надається, тому що Товариство за категорiєю мале пiдприємство i не зобов'язане проводити обов'язковий аудит фiнансової звiтностi.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правочинiв, Iнформацiя про вчинення значних правочинiв, Iнформацiя про вчинення правочинiв, щодо вчинення яких є заiнтересованiсть не надається, тому що вiдповiдно до ч. 10 ст. 126 Закону України "Про ринки капiталу та органiзованi товарнi ринки" та з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приватнi акцiонернi товариства не розкривають таку iнформацiю.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має власного кодексу корпоративного управлiння.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корпоративного управлiння Товариства,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призначення та звiльнення посадових осiб емiтента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обираються з числа фiзичних осiб, якi мають повну цивiльну дiєздатнiсть. До складу Наглядової ради обираються акцiонери або особи, якi представляють їхнi iнтереси, та/або незалежнi директори. Обрання членiв Наглядової ради здiйснюється у спосiб, встановлений в Статутi.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Кiлькiсний склад Наглядової ради становить три особи, якщо iнша мiнiмальна кiлькiсть не передбачена законом.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Члени Наглядової ради обираються акцiонерами пiд час проведення Загальних зборiв на строк не бiльшiй нiж три роки. Не рiдше нiж раз на три роки до порядку денного Загальних зборiв обов'язково вносяться питання, передбаченi пiдпунктами 24 та 26 пункту 5.2. Статуту.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у строк, встановлений законодавством та Статутом, Загальними зборами не прийнятi рiшення, передбаченi пунктами 24 та 26 пункту 5.2. Статуту, повноваження членiв Наглядової ради припиняються, крiм повноважень з пiдготовки, скликання i проведення Загальних зборiв. Особи, обранi членами Наглядової ради, можуть переобиратися необмежену кiлькiсть разiв.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включення до порядку денного Загальних зборiв питання щодо обрання членiв Наглядової ради, кожний акцiонер має право внести пропозицiї щодо нових кандидатiв до складу Наглядової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представника акцiонера - члена Наглядової ради припиняються: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за його бажанням за умови письмового повiдомлення про це  акцiонера за два тижнi;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в разi неможливостi виконання обов'язкiв члена Наглядової ради за станом здоров'я;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в разi набрання законної сили вироком чи рiшенням суду, яким його засуджено до покарання, що виключає можливiсть виконання обов'язкiв члена Наглядової ради;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 разi смертi, визнання його недiєздатним, обмежено дiєздатним, безвiсно вiдсутнiм, померлим;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в разi вiдчуження юридичною особою - акцiонером Товариства, представник якого обраний членом Наглядової ради, усiх належних йому акцiй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у разi припинення трудових вiдносин члена Наглядової ради - фiзичної особи з афiлiйованими (пов'язаними) особами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втрати правосуб'єктностi членом Наглядової Ради - юридичною особою;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у разi отримання Товариством письмового повiдомлення про замiну члена наглядової ради, який є представником акцiонера.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Обрання членiв Наглядової ради Товариства здiйснюється у спосiб, встановлений в Статутi.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Директор обирається (призначається) та вiдкликається (припиняє повноваження) за рiшенням Наглядової ради.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Директором укладається трудовий контракт, у якому передбачаються права, обов'язки, вiдповiдальнiсть сторiн, умови та порядок оплати працi, строк дiї, пiдстави дострокового припинення та наслiдки розiрвання контракту тощо. Вiд iменi Товариства трудовий контракт з Директором пiдписує голова Наглядової ради.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Директора можуть бути припиненi достроково: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у разi виникнення обставин, якi вiдповiдно до чинного законодавства України перешкоджають виконанню обов'язкiв Директора;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ухвалення Наглядовою радою рiшення про вiдкликання (припинення повноважень) Директора;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у випадках, зазначених у трудовому контрактi Директора;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в iнших випадках, передбачених чинним законодавством України.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посадових осiб емiтента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Наглядової ради належить вирiшення питань, передбачених законом та Статутом, а також питань, що переданi Загальними зборами для вирiшення Наглядовiй радi.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виключної компетенцiї Наглядової ради належить: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У частинi пiдготовки та реалiзацiї бiзнес-плану та бюджету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затвердження (змiна, доповнення) бiзнес-плану Товариства, а також затвердження (змiна, доповнення) будь-якого iнвестицiйного, маркетингового, фiнансового та бюджетного плану Товариства, а також плану комерцiйної дiяльностi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У частинi органiзацiї Загальних зборiв акцiонерiв: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пiдготовка та затвердження проекту порядку денного та порядку денного Загальних зборiв, прийняття рiшення про дату їх проведення та про включення пропозицiй до проекту порядку денного, за винятком випадкiв скликання акцiонерами позачергових Загальних зборiв;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обрання реєстрацiйної комiсiї, за винятком випадкiв, встановлених законом, формування тимчасової лiчильної комiсiї у разi скликання Загальних зборiв Наглядовою радою;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визначення дати складення перелiку акцiонерiв, якi мають бути повiдомленi про проведення Загальних зборiв та мають право на участь у Загальних зборах;</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надсилання пропозицiї акцiонерам про придбання належних їм простих акцiй особою (особами, що дiють спiльно), яка придбала контрольний пакет акцiй, вiдповiдно до статтi 93 Закону України "Про акцiонернi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форми i тексту бюлетеня для голосування;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прийняття рiшення про проведення рiчних або позачергових Загальних зборiв;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розмiщення товариством iнших, нiж акцiї,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прийняття рiшення про викуп розмiщених товариством iнших, нiж акцiї,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затвердження ринкової вартостi майна у випадках, передбачених законом та цим Статутом;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У частинi розробки i затвердження документiв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затвердження положень Товариства, якими регулюється дiяльнiсть Товариства, за винятком тих, що вiдносяться до компетенцiї Загальних зборiв акцiонерiв;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затвердження за поданням Директора Товариства цiн i тарифiв на типовi товари, роботи i послуги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затвердження примiрного договору про надання Товариством послуг, виконання робiт, придбання товарiв;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У частинi кадрової полiтики та вирiшення трудових питань у Товариствi: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обрання та припинення повноважень Директора;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затвердження умов контракту, який укладається з Директором, встановлення розмiру його винагороди;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вiдсторонення Директора вiд здiйснення повноважень та обрання особи, яка тимчасово здiйснюватиме повноваження Директора;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обрання та припинення повноважень голови i членiв iнших органiв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за поданням Директора проекту штатного розкладу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попереднє узгодження кандидатури головного бухгалтера, фiнансового Директора Товариства, юрисконсульта, будь-якого iз заступникiв Директора;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притягнення Директора Товариства до дисциплiнарної, матерiальної вiдповiдальностi, звернення до правоохоронних органiв iз заявою про притягнення Директора Товариства до адмiнiстративної або кримiнальної вiдповiдальностi;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представлення iнтересiв Товариства (роботодавця) та участь вiд iменi Товариства (роботодавця) у проведеннi переговорiв з Трудовим Колективом (його законним представником), а також пiдписання вiд iменi Товариства колективного договору, доповнень i змiн до нього.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призначає виконуючого обов'язки Директора на час його тимчасової вiдсутностi (вiдрядження, вiдпустка, хвороба, тощо).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У частинi участi в статутному капiталi iнших юридичних осiб та участi в управлiннi юридичними особами, де Товариство є учасником, пайовиком, акцiонером: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вирiшення питань про участь Товариства у промислово-фiнансових групах та iнших об'єднаннях, про заснування iнших юридичних осiб, про придбання та/або вiдчуження корпоративних прав Товариства в iнших юридичних особах;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вирiшення питань, вiднесених до компетенцiї Наглядової ради роздiлом XVIII Закону України "Про акцiонернi товариства", у разi злиття, приєднання, подiлу, видiлу або перетворення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В частинi укладення Товариством правочинiв, та вчинення iнших юридично значимих дiй, якщо вартiсть майна або послуг, що є його предметом становить не бiльше 25 вiдсоткiв вартостi активiв за даними останньої рiчної фiнансової звiтностi: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прийняття рiшення про вчинення Товариством правочину або декiлькох взаємопов'язаних правочинiв, стосовно: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придбання Товариством будь-яких об'єктiв нерухомого майна або його частин, включаючи, будiвлi, споруди, примiщення, земельнi дiлянки, а також права на них;</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вiдчуження  Товариством будь-яким засобом нерухомого майна Товариства, його частин, включаючи, будiвлi, споруди, примiщення, земельнi дiлянки, а також права на них;</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обтяження або можливостi обтяження Товариством будь-яким способом, включаючи, але не обмежуючись, передача в заставу, оренду, суборенду, користування нерухомого майна Товариства, його частин, включаючи, будiвлi, споруди, примiщення, земельнi дiлянки, а також права на них;</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прийняття рiшення про вчинення правочину або декiлькох взаємопов'язаних правочинiв, щодо надання (видачi) або отримання Товариством позик, кредитiв, поруки та гарантiй в будь-якому виглядi,  вчинення правочину про забезпечення Товариством виконання зобов'язання iншої особи будь-яким способом;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вчинення правочину про переведення боргу (переуступки), за якою Товариство приймає на себе борг iншої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прийняття рiшення про вчинення будь-якого вексельного правочину (угоди, договору), у тому числi видачi векселiв, вчиненнi на векселi iндосаменту, авалю, акцепту та платежу за векселем незалежно вiд суми угоди;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прийняття рiшення про випуск облiгацiй i будь-яких iнших цiнних паперiв, здiйсненнi будь - яких операцiй з цiнними паперами, випущених Товариством чи iншими особами;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прийняття рiшення про вчинення правочинiв щодо вiдстрочок платежу за реалiзованi товари, роботи, послуги та/або проведення оплати в натуральнiй формi, а також прощення боргу, окрiм правочинiв складського зберiгання зерна та iнших правочинiв вiдповiдального зберiгання;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вчинення правочинiв дарування, укладання мирових угод в рамках порушених у судах, третейських судах та мiжнародних арбiтражах господарських, трудових, цивiльних, адмiнiстративних спорiв;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прийняття рiшення про вчинення зовнiшньоекономiчних контрактiв;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прийняття рiшення про надання згоди на вчинення правочину (за виключенням правочинiв вiдповiдального, в т.ч. складського зберiгання) або кiлькох взаємопов'язаних правочинiв, не передбачених пiдпунктами 1-8 пункту 6.3.6 Статуту, на суму, що дорiвнює або перевищує 5000 ( п'ять тисяч ) доларiв США, або еквiвалент цiєї суми у будь-якiй iншiй валютi, розрахований по курсу Нацiонального банку України, який дiє на дату укладення такого правочину;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прийняття рiшення про надання згоди на вчинення значних правочинiв у випадках, передбачених у статтi 106 Закону України "Про акцiонернi товариства", та правочинiв з заiнтересованiстю у випадках, передбачених у статтi 107 Закону України "Про акцiонернi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прийняти рiшення про попереднє надання згоди на вчинення значних правочинiв, якi можуть вчинятися Товариством протягом не бiльш як одного року з дати прийняття такого рiшення у випадках, передбачених у статтi 106 Закону України "Про акцiонернi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прийняття рiшення про продаж ранiше викуплених Товариством акцiй;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прийняття рiшення про розмiщення Товариством iнших цiнних паперiв, крiм акцiй;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прийняття рiшення про викуп розмiщених Товариством iнших, крiм акцiй,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обрання аудитора Товариства та визначення умов договору, що укладатиметься з ним, встановлення розмiру оплати його послуг;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16)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17) прийняття рiшення про обрання  депозитарної установи, яка надає Товариству додатковi послуги, та затвердження умов договору, що укладатиметься з ним, встановлення розмiру оплати його послуг;</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вирiшення iнших питань, що вiднесенi до компетенцiї наглядової ради вiдповiдно до частини другої статтi 71 Закону України "Про акцiонернi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частинi вiдносин Товариства з банками та iншими кредитними установами: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схвалення вибору банкiв та iнших кредитних установ, в яких Товариство вiдкриває розрахунковi та будь-якi iншi рахунки в українськiй та/або iноземнiй валютi, з якими Товариство планує укладати кредитнi договори або здiйснювати будь-якi iншi угоди;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прийняття рiшення про вiдкриття i закриття розрахункових i будь-яких iнших рахункiв в українськiй та / або iноземнiй валютi в банках та iнших кредитних установах;</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укладення, змiну та припинення (розiрвання), кредитних i будь-яких iнших договорiв з банками та iншими кредитними установами, узгодження умов таких договорiв;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У частинi iнших питань: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прийняття рiшення про вiдкриття i закриття рахункiв у банках, надання права пiдпису банкiвських документiв вiд iменi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схвалення розмiру будь-яких премiй, винагород, внескiв, пожертвувань, компенсацiй i будь-яких iнших виплат на адресу працiвникiв Товариства та будь-яких третiх осiб, якщо тiльки такi виплати ранiше прямо не були передбаченi бюджетом Товариства, схваленим в установленому порядку.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вирiшення iнших питань дiяльностi Товариства, вiднесених законами України до виключної компетенцiї Наглядової ради акцiонерного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визначення дати складення перелiку осiб, якi мають право на отримання дивiдендiв, порядку та строкiв виплати дивiдендiв;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ринкової вартостi майна у випадках, передбачених законом;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вирiшення iнших питань, передбачених Статутом, або рiшенням Загальних зборiв.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компетенцiї  Директора належать всi питання поточної дiяльностi Товариства, крiм тих, якi згiдно з законодавством, Статутом, рiшенням Загальних зборiв або рiшенням Наглядової ради вiднесенi до компетенцiї iншого органу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Правочини, що мають ознаки значного правочину та/або правочину, щодо вчинення якого є заiнтересованiсть, Директор зобов'язаний вчиняти з дотриманням вимог Закону України "Про акцiонернi товариства". Правочини, що мають ознаки, зазначенi у статтi 6 Статуту, Директор має право вчиняти лише пiсля прийняття Наглядовою радою Товариства рiшення про їх вчинення.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Директор самостiйно приймає рiшення в межах його компетенцiї шляхом видання наказiв, iнших актiв або способом вчинення юридичних дiй вiд iменi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має право видавати довiреностi вiд iменi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на вимогу органiв та посадових осiб Товариства зобов'язаний надати можливiсть ознайомитися з будь-якою iнформацiєю про дiяльнiсть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винагороду членiв виконавчого органу та/або ради особи не включена до складу рiчної iнформацiї, так як у звiтному роцi емiтент не виплачував винагороду членам виконавчого органу та/або ради. Директору Товариства виплачувалась заробiтна плата згiдно з укладеним контрактом.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включена до складу рiчної iнформацiї, так як Товариство не є емiтентом облiгацiй.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проведеннi засiдання комiтетiв ради та загальний опис прийнятих рiшень не включена до складу рiчної iнформацiї, так як в складi Наглядової ради Товариства комiтети не створювались.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колегiального виконавчого органу та його комiтетiв, Iнформацiя про проведеннi засiдання колегiального виконавчого органу та загальних опис прийнятих рiшень,  Iнформацiя про проведеннi засiдання комiтетiв колегiального виконавчого органу та загальних опис прийнятих рiшень, не включена до складу рiчної iнформацiї, так як у Товариствi вiдсутнiй колегiальний виконавчий орган та його комiтети.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звiт виконавчого органу не надається, тому що у Товариствi одноосiбний виконавчий орган.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корпоративного секретаря, а також звiт щодо результатiв його дiяльностi не надається, тому що у звiтному перiодi корпоративний секретар не обирався та не призначався.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винагороду членiв виконавчого органу та/або ради особи не розкривається, так як винагорода виконавчому органу та/або Наглядовiй радi не виплачувалася.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полiтику розкриття iнформацiї не надається, тому що в Товариствi вiдсутнiй внутрiшнiй документ, який визначає полiтику щодо розкриття iнформацiї.</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 суб'єкта аудиторської дiяльностi з урахуванням вимог, передбачених пунктом 45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надається, тому що згiдно iз ч. 3 ст. 127 Закону України "Про ринки капiталу та органiзованi товарнi ринки" приватне акцiонерне товариство не зобов'язане залучати суб'єкта аудиторської дiяльностi для перевiрки та висловлення думки щодо окремих пунктiв звiту про корпоративне управлiння.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сталий розвиток не надається, тому що вiдповiдно до пiдпункту 6 п. 42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вимоги до розкриття звiту про сталий розвиток до Товариства не застосовуються.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 тому що станом на 31.12.2025 у Товариства вiдсутнi зв'язки з iноземним державами зони ризику.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винагороди або компенсацiї, якi мають бути виплаченi посадовим особам емiтента в разi їх звiлнення не надається, тому що згiдно iз ч. 10 ст. 126 Закону України "Про ринки капiталу та органiзованi товарнi ринки" така iнформацiя приватними акцiонерними товариствами не розкривається.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Дивiдендна полiтика не надається, тому що в Товариствi вiдсутнiй внутрiшнiй документ, який би визначав дивiдендну полiтику.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розкрита, оскiльки протягом звiтного перiоду дивiденди не нараховувалися та не виплачувалися.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пов'язана з емiсiєю окремих видiв цiнних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URL-адреса(и) вебсайту Товариства, на якiй (яких) розмiщена промiжна iнформацiя не надається, тому що Товариство не розкриває промiжну iнформацiю згiдно iз ч. 10 ст. 126 Закону України "Про ринки капiталу та органiзованi товарнi ринки".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не надається, тому що Товариство не випускало забезпечених боргових цiнних паперiв.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РНОКПП та УНЗР деяких посадових осiб не надається, тому що особи не надали згоди на розкриття особистих даних.</w:t>
      </w:r>
    </w:p>
    <w:p w:rsidR="007C3D5A" w:rsidRDefault="007C3D5A">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річного звіту</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Look w:val="04A0"/>
      </w:tblPr>
      <w:tblGrid>
        <w:gridCol w:w="8755"/>
        <w:gridCol w:w="1830"/>
      </w:tblGrid>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 Загальна інформація</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10</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Ідентифікаційні дані та загальна інформація</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10</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 Органи управління та посадові особи. Організаційна структура</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13</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 Структура власності</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17</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 Опис господарської та фінансової діяльності</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17</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II. Інформація щодо капіталу та цінних паперів</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28</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Структура капіталу</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28</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 Цінні папери</w:t>
            </w:r>
          </w:p>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31</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III. Фінансова інформація</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Інформація про розмір доходу за видами діяльності особи</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 Річна фінансова звітність</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34, 45</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 Твердження щодо річної інформації</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IV. Нефінансова інформація</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Звіт керівництва (звіт про управління)</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34</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звіт про корпоративне управління</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35</w:t>
            </w:r>
          </w:p>
        </w:tc>
      </w:tr>
      <w:tr w:rsidR="006E7D00" w:rsidRPr="006E7D00" w:rsidTr="007C3D5A">
        <w:tc>
          <w:tcPr>
            <w:tcW w:w="8755" w:type="dxa"/>
          </w:tcPr>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VI. Список посилань на регульовану інформацію, яка була розкрита протягом звітного року</w:t>
            </w:r>
          </w:p>
          <w:p w:rsidR="006E7D00" w:rsidRPr="006E7D00" w:rsidRDefault="006E7D00" w:rsidP="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c>
          <w:tcPr>
            <w:tcW w:w="1830" w:type="dxa"/>
          </w:tcPr>
          <w:p w:rsidR="006E7D00" w:rsidRPr="006E7D00" w:rsidRDefault="006E7D00" w:rsidP="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43</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 Загальна інформація</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ПРИВАТНЕ АКЦIОНЕРНЕ ТОВАРИСТВО "БАЛТСЬКЕ ХЛIБОПРИЙМАЛЬНЕ ПIДПРИЄМСТВО "</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ПрАТ "Балтське ХПП"</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00955213</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10.02.1998</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66161, Україна, Одеська обл., Подiльський р-н, село Бiлине, Залiзнична, 34</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V</w:t>
            </w:r>
            <w:r w:rsidRPr="006E7D00">
              <w:rPr>
                <w:rFonts w:ascii="Times New Roman CYR" w:eastAsiaTheme="minorEastAsia" w:hAnsi="Times New Roman CYR" w:cs="Times New Roman CYR"/>
                <w:sz w:val="24"/>
                <w:szCs w:val="24"/>
              </w:rPr>
              <w:tab/>
              <w:t>Емітент</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Особа, яка надає забезпечення</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Так</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V</w:t>
            </w:r>
            <w:r w:rsidRPr="006E7D00">
              <w:rPr>
                <w:rFonts w:ascii="Times New Roman CYR" w:eastAsiaTheme="minorEastAsia" w:hAnsi="Times New Roman CYR" w:cs="Times New Roman CYR"/>
                <w:sz w:val="24"/>
                <w:szCs w:val="24"/>
              </w:rPr>
              <w:tab/>
              <w:t>Ні</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Велике</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Середнє</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V</w:t>
            </w:r>
            <w:r w:rsidRPr="006E7D00">
              <w:rPr>
                <w:rFonts w:ascii="Times New Roman CYR" w:eastAsiaTheme="minorEastAsia" w:hAnsi="Times New Roman CYR" w:cs="Times New Roman CYR"/>
                <w:sz w:val="24"/>
                <w:szCs w:val="24"/>
              </w:rPr>
              <w:tab/>
              <w:t>Мале</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Мікро</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balta@bunge.com</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http://balta-hpp.com.</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(04866) 2-59-13, (04866) 2-59-12</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3116900</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0</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0</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61</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22686,43</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52.10 - Складське господарство</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46.33 - Оптова торгiвля молочними продуктами, яйцями, харчовими олiями та жирами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46.21 - Оптова торгiвля зерном, необробленим тютюном, насiнням i кормами для тварин</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Однорівнева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V</w:t>
            </w:r>
            <w:r w:rsidRPr="006E7D00">
              <w:rPr>
                <w:rFonts w:ascii="Times New Roman CYR" w:eastAsiaTheme="minorEastAsia" w:hAnsi="Times New Roman CYR" w:cs="Times New Roman CYR"/>
                <w:sz w:val="24"/>
                <w:szCs w:val="24"/>
              </w:rPr>
              <w:tab/>
              <w:t>Дворівнева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Інше</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ДЕРЖАВНА КАЗНАЧЕЙСЬКА СЛУЖБА УКРАЇНИ</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37567646</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UA138999980385129000000232838</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UAH</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АКЦIОНЕРНЕ ТОВАРИСТВО "СIТIБАНК"</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21685485</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UA673005840000026005200238095</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UAH</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АКЦIОНЕРНЕ ТОВАРИСТВО "СIТIБАНК"</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21685485</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UA933005840000026002200238117</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EUR</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АКЦIОНЕРНЕ ТОВАРИСТВО "Райффайзен Банк"</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14305909</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UA373003350000000260402153123</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UAH</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АКЦIОНЕРНЕ ТОВАРИСТВО "Райффайзен Банк"</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14305909</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UA803003350000000260092198161</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UAH</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Інформація про виконання</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57247/15-32-04-09-20</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16.10.2025</w:t>
            </w:r>
          </w:p>
        </w:tc>
        <w:tc>
          <w:tcPr>
            <w:tcW w:w="22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ДПС України</w:t>
            </w:r>
          </w:p>
        </w:tc>
        <w:tc>
          <w:tcPr>
            <w:tcW w:w="22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Порушення правил сплати грошового зобов'язяння . 5% вiдсоткiв  вiд суми 200045,98грн  дорiвнює 10002,30грн</w:t>
            </w:r>
          </w:p>
        </w:tc>
        <w:tc>
          <w:tcPr>
            <w:tcW w:w="44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П.57.1 ст.57, пп266.10.1 п.266.10 ст.266 ПКУ вiд 02.12.2010 №5755-VI</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П.124,1 ст. 124 ПКУ вiд 02.12.2010 №2755-VI</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8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Сплачено, платiжне доручення №950 вiд 13.11.2025року на суму 10002,30грн</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pPr>
    </w:p>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sectPr w:rsidR="006E7D00">
          <w:pgSz w:w="16837" w:h="11905" w:orient="landscape"/>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Персональний склад органу управління (контролю)</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Загальнi збори Товариства</w:t>
            </w:r>
          </w:p>
        </w:tc>
        <w:tc>
          <w:tcPr>
            <w:tcW w:w="4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 акцiонери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Акцiонери згiдно з реєстром власникiв цiнних паперiв станом 31.12.2025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(три) чособи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Станом на 31.12.2025: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Панчишин Антонiна Миколаївна - Голова Наглядової ради</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Дорощенко Олексiй Миколайович - член Наглядової ради</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Мiщенко Дмитро Анатолiйович - член Наглядової ради</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Одноосiбний виконавчий орган - директор </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Станом на 31.12.2025: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Самолюк Сергiй Iванович</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1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Ревiзiйна комiсiя</w:t>
            </w:r>
          </w:p>
        </w:tc>
        <w:tc>
          <w:tcPr>
            <w:tcW w:w="4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Питання щодо встановлення кiлькiсного складу Ревiзiйної комiсiї розглядається безпосередньо перед питанням щодо обрання членiв Ревiзiйної комiсiї.</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Чорний Юрiй Анатолiйович - член Ревiзiйної комiсiї</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посадових осіб</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Стать чоловіча/ жіноча - (ч/ж)</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12</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Москальчук Олександр Олександрович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39</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ПIДПРИЄМСТВО З IНОЗЕМНИМИ IНВЕСТИЦIЯМИ "ВАЙТЕРРА УКРАЇНА"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23393195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06.05.2025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18.12.2025</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Мiщенко Дмитро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20</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ПIДПРИЄМСТВО З IНОЗЕМНИМИ IНВЕСТИЦIЯМИ "ВАЙТЕРРА УКРАЇНА"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23393195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заступник директора фiнансового</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06.05.2025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Дорощенко Олексiй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1977</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30</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ПIДПРИЄМСТВО З IНОЗЕМНИМИ IНВЕСТИЦIЯМИ "ВАЙТЕРРА УКРАЇНА"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23393195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начальник вiддiлу охорони працi та навколишнього середовища</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06.05.2025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Панчишин Антонiна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15</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ДОЧIРНЄ ПIДПРИЄМСТВО З IНОЗЕМНОЮ IНВЕСТИЦIЄЮ "САНТРЕЙД"</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25394566</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18.12.2025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ж</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Стать чоловіча/ жіноча - (ч/ж)</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12</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Самолюк Сергiй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42</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Вiдкрите акцiонерне товариство "Балтське ХПП"</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00955213</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головний iнженер</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31.01.2025</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 01.02.2026</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Стать чоловіча/ жіноча - (ч/ж)</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12</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Москаленко Микола Павлович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39</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Товариство з обмеженою вiдповiдальнiстю "Балта хлiб"</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31165269</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головний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01.08.2006</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Ревiзiйної комiсiї</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Чорний Юрiй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24</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СIЛЬСЬКОГОСПОДАРСЬКЕ ТОВАРИСТВО З ОБМЕЖЕНОЮ ВIДПОВIДАЛЬНIСТЮ "КРЯЖ I К"</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30803438</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аудитор</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18.04.2017</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на термiн до прийняття загальними зборами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2500"/>
        <w:gridCol w:w="1625"/>
        <w:gridCol w:w="1625"/>
        <w:gridCol w:w="1625"/>
        <w:gridCol w:w="1625"/>
        <w:gridCol w:w="1700"/>
        <w:gridCol w:w="1700"/>
      </w:tblGrid>
      <w:tr w:rsidR="006E7D00" w:rsidRPr="006E7D00">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Кількість за типами акцій</w:t>
            </w:r>
          </w:p>
        </w:tc>
      </w:tr>
      <w:tr w:rsidR="006E7D00" w:rsidRPr="006E7D00">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привілейовані іменні</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9</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Самолюк Сергiй Iванович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1 000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0,00802</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1 000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Головний бухгалтер</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Москаленко Микола Павлович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Голова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Москальчук Олександр Олександрович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Мiщенко Дмитро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Дорощенко Олексiй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Член Ревiзiйної комiсiї</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Чорний Юрiй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r w:rsidR="006E7D00" w:rsidRPr="006E7D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7</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Голова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Панчишин Антонiна Миколаївна</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6E7D00">
              <w:rPr>
                <w:rFonts w:ascii="Times New Roman CYR" w:eastAsiaTheme="minorEastAsia" w:hAnsi="Times New Roman CYR" w:cs="Times New Roman CYR"/>
                <w:sz w:val="20"/>
                <w:szCs w:val="20"/>
              </w:rPr>
              <w:t>0</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pPr>
    </w:p>
    <w:p w:rsidR="006E7D00" w:rsidRDefault="006E7D00">
      <w:pPr>
        <w:widowControl w:val="0"/>
        <w:autoSpaceDE w:val="0"/>
        <w:autoSpaceDN w:val="0"/>
        <w:adjustRightInd w:val="0"/>
        <w:spacing w:after="0" w:line="240" w:lineRule="auto"/>
        <w:rPr>
          <w:rFonts w:ascii="Times New Roman CYR" w:hAnsi="Times New Roman CYR" w:cs="Times New Roman CYR"/>
          <w:sz w:val="20"/>
          <w:szCs w:val="20"/>
        </w:rPr>
        <w:sectPr w:rsidR="006E7D00">
          <w:pgSz w:w="16837" w:h="11905" w:orient="landscape"/>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Організаційна структура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https://www.viterraukraine.com.ua/uk/What-we-do/Storage/Balta/balta-info/balta_other</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https://www.viterraukraine.com.ua/uk/What-we-do/Storage/Balta/balta-info/balta_other</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господарської та фiнансової дiяльностi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належить до будь-яких об'єднань пiдприємств.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спiльну дiяльнiсть з iншими органiзацiями, пiдприємствами, установами.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Бухгалтерський облiк на Товариствi ведеться згiдно наказу про облiкову полiтику та у вiдповiдностi до норм ЗУ "Про бухгалтерський облiк та фiнансову звiтнiсть в Українi" вiд 16 липня 1999 р. № 996-XIV. Облiковою полiтикою Товариства встановлено, зокрема, наступнi основнi норми.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амортизацiї здiйснюється протягом строку корисного використання (експлуатацiї) об'єкта, при визнаннi цього об'єкта активом (при зарахуваннi на баланс), iз застосуванням прямолiнiйного методу. Оцiнка вартостi основних засобiв здiйснюється за iсторичною собiвартiстю. При передачi малоцiнних необоротних матерiальних активiв в єксплуатацiю знос нараховується в розмiрi 100% в момент введення об'єкта в експлуатацiю з вiднесенням його на вiдповiднi статтi витрат. До основних засобiв вiдносяться матерiальнi цiнностi зi сроком корисного використання бiльше одного року та вартiстю бiльше 20 000 грн. При передачi запасiв у виробництво, в момент продажу а також при iншому вибуттi, їх оцiнка здiйснюється за методом ФIФО. У разi виявлення сумнiвної дебiторської заборгованостi Товариство створює резерв сумнiвної заборгованостi у розмiрi 100% суми (по методу абсолютної суми сумнiвної заборгованостi).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Товариства, щодо фiнансування дiяльностi пов'язана з послугами щодо їх складського зберiгання, що забезпечує основну частину доходу. Фiнансування дiяльностi Товариства здiйснюється на госпрозрахунковiй основi та проводиться з власних обiгових коштiв без залучення стороннього фiнансування.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 силу виду своєї дiяльностi, не проводить дослiдження та розробки.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 / надає особа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Основна дiяльнiсть, що провадилась емiтентом у звiтному перiодi та вiд здiйснення якої емiтентом отримано переважну частину виручки - дiяльнiсть по наданню послуг зi складського зберiгання зерна на сертифiкованому зерновому складi суб'єктам ринку зерна. Послуги складського зберiгання включали, зокрема, наступнi основнi послуги: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-приймання;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-зберiгання;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-вiдвантаження;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-очистка;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-сушка;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(у натуральному та грошовому виразi)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Сушiння - 19 826 т%  (2801,7 тис грн)</w:t>
      </w:r>
      <w:r>
        <w:rPr>
          <w:rFonts w:ascii="Times New Roman CYR" w:hAnsi="Times New Roman CYR" w:cs="Times New Roman CYR"/>
          <w:sz w:val="24"/>
          <w:szCs w:val="24"/>
        </w:rPr>
        <w:tab/>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Вiдвантаження - 24 968 т (4 749,6 тис.грн)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Зберiгання - 74 238 т-мiс (8 971,3 тис. 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Очистка - 31 344 т/% (810,9 тис.грн.)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Приймання - 32 120 т. (83,5 тис.грн.)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Маневровi роботи - 298 шт (295,0 тис.грн.)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здiйснює дiяльностi з виробництва та реалiзацiї власної продукцiї.</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цим показники щодо середньореалiзацiйних цiн на продукцiю Товариства вiдсутнi.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22 013,1 тис. грн.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експортом.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Спостерiгається висока залежнiсть вiд сезонних змiн, так як об'єм вирощених зернових культур складає основу дiяльностi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клiєнти у сферi надання послуг - суб'єкти ринку зерна (переважно за мiсцем розташування емiтента).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свою дiяльнiсть виключно на територiї України.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 не здiйснює виробництво та реалiзацiю власної продукцiї.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 не здiйснює виробництво та реалiзацiю власної продукцiї.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ПрАТ "Балтське ХПП" здiйснює господарську дiяльнiсть у сферi складського господарства та обробки сiльськогосподарської продукцiї, зокрема - приймання, сушiння, очищення та зберiгання.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зберiгання та логiстики сiльськогосподарської продукцiї в Українi є важливим компонентом аграрного комплексу, що забезпечує безперервнiсть ланцюга постачання "вiд поля до покупця".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характеризується такими особливостями: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Зростаюча потреба в зерносховищах: через логiстичнi обмеження, зумовленi воєнним станом, багато агровиробникiв змушенi шукати альтернативнi шляхи зберiгання та продажу продукцiї. Це призводить до пiдвищеного попиту на послуги хлiбоприймальних пiдприємств та елеваторiв.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iнфраструктури: значна частина елеваторних потужностей потребує технiчного оновлення. У галузi спостерiгається поступова модернiзацiя технологiчного обладнання, зростає попит на автоматизацiю облiку та контроль якостi зерна.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логiстичних маршрутiв: внаслiдок блокування традицiйних морських експортних шляхiв (Чорноморськi порти), все бiльше зерна перевозиться залiзницею та автомобiльним транспортом, зокрема в напрямку захiдного кордону. Це створює новi виклики для елеваторної iнфраструктури пiвденних i центральних регiонiв.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Економiчнi виклики: у зв'язку з нестабiльнiстю цiн на зерновi культури на свiтових ринках та зростанням вартостi енергоресурсiв, пiдприємства галузi зазнають зростання витрат, що негативно впливає на показники їх операцiйної рентабельностi.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технологiчному процесi Товариства використовуються як базовi, так i вдосконаленi елементи елеваторної iнфраструктури, що вiдповiдають галузевим стандартам для хлiбоприймальних пiдприємств України. Товариство використовує зерноочиснi агрегати типу БСХ 200, оснащенi сучасними аспiрацiйними установками.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застосовує площиннi (напольнi) сховища для тимчасового та довготривалого зберiгання зернових культур iз загальною мiсткiстю 52 300 тонн. Зберiгання здiйснюється з урахуванням агротехнiчних вимог до вологостi, температури та вентиляцiї зерна.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пiдтримання якiсних характеристик зерна пiд час зберiгання використовуються механiзми вентиляцiї та температурного контролю. Це дозволяє уникнути псування продукцiї, розвитку шкiдникiв та самозiгрiвання.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Важливим елементом технологiчного циклу є система аспiрацiї, яка очищає повiтря в зерноочисному та приймальному вiддiленнях, зменшуючи концентрацiю пилу в повiтрi до допустимих норм, згiдно з вимогами охорони працi та екологiчної безпеки.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операцiйнiй дiяльностi використовується програмне забезпечення для облiку руху зерна, складування та ведення документацiї. Це забезпечує точнiсть облiку, пiдвищує прозорiсть логiстичних процесiв та знижує ризики втрат.</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Товарситво розташоване поруч iз залiзничною гiлкою, що дозволяє органiзовувати масштабнi вiдвантаження продукцiї у вагонах, а також забезпечує гнучкiсть транспортування автомобiльним транспортом.</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займає стабiльне положення у своєму регiонi, виконуючи важливу роль серед мiсцевих операторiв аграрної iнфраструктури. Товариство конкурує з iншими аграрними групами, якi мають власнi потужностi зберiгання. Має потенцiал пiдтримувати свою конкурентоспроможнiсть через регiональну присутнiсть, комплекс обслуговування та iсторичнi зв'язки з виробниками.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досягає значного рiвня, проте, Товариство не здiйснює детальних дослiджень щодо цього питання. Товариство розробляє та здiйснює рiзноманiтнi заходи для збереження своєї частки на ринку, а також розширення ринкiв збуту через залучення нових клiєнтiв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перспективнiсть надання послуг складського зберiгання залежить вiд багатьох факторiв i фактично не прогнозується. Товариство планує збiльшити обсяги надаваних послуг для максимального використання виробничих потужностей.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якщо, особа є фiнансовою установою, то вказується iнформацiя передбачена пунктами 1 (в тому числi перелiк банкiвських та фiнансових послуг, якi фактично надавались такою фiнансовою установою протягом звiтного перiоду), 4, 11 - 15.</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Опис ризикiв, як притаманнi дiяльностi особи, пiдходи до управлiння ризиками, заходи особи щодо зменшення впливу ризикiв.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ризики в дiяльностi - полiтичнi та макроекономiчнi, сезонний характер дiяльностi.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планує ремонт та оновлення матерiально-технiчної бази, залучення нових клiєнтiв, збiльшення обсягiв надаваних послуг для максимального використання виробничих потужностей. Для захисту своєї дiяльностi, розширення ринкiв збуту та зменшення ризикiв емiтент здiйснює рiзноманiтнi заходи, зокрема, проводиться перiодична оцiнка конкурентоспроможностi Товариства на внутрiшньому ринку.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останнiх 5 рокiв Товариством придбавалися та вiдчужувалися необоротнi активи (тис.грн.):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Придбання:  2021 р. - 2947,3; 2022 р. - 12040,6; 2023р. - 2434,6; 2024р - 6637,3; 2025р - 3604,3</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вiдчуження активiв Товариством за останнi п'ять рокiв (тис.грн): 2021 р. - 18,2; 2022 р. - 0; 2023р. - 12,3; 2024р.- 16,1; 2025р.- 871,4</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планує значнi iнвестицiї або придбання, пов'язанi з його господарською дiяльнiстю.</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Матерiально-технiчну базу Товариства складають власнi основнi засоби. Станом на 31.12.2025 р. первiсна вартiсть основних засобiв складала 75 463,2 тис. грн., сума накопиченого зносу основних засобiв - 46 334 ,6 тис. грн., залишкова вартiсть -  29 128,6 тис. грн.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за групами (та строк корисного користування основних засобiв) станом на 31.12.2025 р.:</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будiвлi, соруди - 20 рокiв (240 мiсяцiв); машини та обладнання - 8 рокiв (96 мiсяцiв); транспортнi засоби - 5 рокiв (60 мiсяцiв); комп'ютерна технiка - 3 роки (36 мiсяцiв); iншi основнi засоби (iнструменти, прилади, iнвентар, меблi) - 8 рокiв (96 мiсяцiв).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засоби емiтента знаходяться у задовiльному станi. Будь-яких суттєвих правочинiв щодо основних засобiв емiтента у звiтному перiодi не здiйснювалось, надiйшло основних засобiв за звiтнiй перiод:  3 604,3   тис. грн. Основнi виробничi потужностi Товариства включають засоби для сушiння, чищення зерна, засоби зберiгання та розвантаження зерна. Ступiнь використання обладнання - 100%. Виробничi потужностi в цiлому задовольняють потреби Товариства. Спосiб утримання активiв - за рахунок власних коштiв.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Мiсцезнаходження основних засобiв: 66161, Одеська обл., Подiльський район, село Бiлине, вул. Залiзнична, 34. Товариством перiодично здiйснюється придбання нових основних засобiв, а також їх модернiзацiя.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екологiчних питаннь, що можуть позначитися на використаннi активiв пiдприємства вiдносяться погоднi умови, якi впливають на врожай сiльськогосподарських культур.</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планiв капiтального будiвництва, розширення або удосконалення основних засобiв, характер та причини таких планiв, суми видаткiв, в тому числi вже зроблених, опис методу фiнансування, прогнознi дати початку та закiнчення дiяльностi та очiкуване зростання виробничих потужностей пiсля її завершення вiдсутня.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економiчних обмежень.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Товариства має високу залежить вiд клiматичних умов, так як об'єм вирощених зернових  культур складає основу дiяльностi пiдприємства. Також висока цiна на газ природний має високу собiвартiсть такої послуги як сушiння культур.</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Укладених, але ще не виконаних договорiв (контрактiв) на кiнець звiтного перiоду немає.</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облiкового складу - 60 осiб. Середня чисельнiсть позаштатних працiвникiв та осiб, якi працюють за сумiсництвом (особи): 1 (одна) особа. Чисельнiсть працiвникiв, якi працюють на умовах неповного робочого часу (дня, тижня) (осiб): 3 . Фонд оплати працi в 2024 роцi складає 23 600,38 тис. грн. Фонд оплати працi в 2025 роцi - 22 686,43 тис. грн. Фонд оплати працi в 2025 роцi в порiвняннi з 2024 роком збiльшився/зменшився на -913,95 тис.грн.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Кадрова програма емiтента, спрямована на забезпечення рiвня квалiфiкацiї працiвникiв операцiйним потребам емiтента. Товариство повнiстю забезпечено професiйними кадрами, якi мають квалiфiкацiю вiдносно займаних посад по штатному розкладу та мають необхiдний досвiд роботи.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боку третiх осiб не надходили.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може бути iстотною для оцiнки стейкхолдерами фiнансового стану та результатiв дiяльностi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яка може бути iстотною для оцiнки стейкхолдерами фiнансового стану та результатiв дiяльностi Товариства вiдсутня.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6E7D00" w:rsidRPr="006E7D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засоби, усього, тис. грн</w:t>
            </w:r>
          </w:p>
        </w:tc>
      </w:tr>
      <w:tr w:rsidR="006E7D00" w:rsidRPr="006E7D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кінець періоду</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30 876,2</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29 128,6</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30 876,2</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29 128,6</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19 079,9</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17 138,3</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19 079,9</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17 138,3</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9 375,6</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10 237,3</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9 375,6</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10 237,3</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2 417,5</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1 751,5</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2 417,5</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1 751,5</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3,2</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1,5</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3,2</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1,5</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30 876,2</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29 128,6</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30 876,2</w:t>
            </w:r>
          </w:p>
        </w:tc>
        <w:tc>
          <w:tcPr>
            <w:tcW w:w="1082"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29 128,6</w:t>
            </w:r>
          </w:p>
        </w:tc>
      </w:tr>
      <w:tr w:rsidR="006E7D00" w:rsidRPr="006E7D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Товариство використовує основнi засоби для здiйснення господарської дiяльностi протягом строку їх корисного використання, встановленого облiковою полiтикою Товариства (а в деяких випадках -понад установлений строк). </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Термiни корисного використання (експлуатацiї) основних засобiв визначено у розрiзi наступних груп: будiвлi, споруди - 20 рокiв (240 мiсяцiв); машини та обладнання - 8 рокiв (96 мiсяцiв); транспортнi засоби - 5 рокiв (60 мiсяцiв); комп'ютерна технiка - 3 роки (36 мiсяцiв); iншi основнi засоби (iнструменти, прилади, iнвентар, меблi) - 8 рокiв (96 мiсяцiв). . </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Первiсна вартiсть основних засобiв: 75 463,2 тис.грн</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Ступiнь їх зносу: 61.4 % вiд первiсної вартостi</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Ступiнь їх використання досягає 100%</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Сума нарахованого зносу: 46 334,6 тис.грн</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Данi щодо того, чим зумовленi суттєвi змiни у вартостi основних засобiв:</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Змiни у вартостi основних засобiв зумовленi придбанням машин та обладнання та капiтального ремонту примiщень протягом аналiзованого перiоду (всього придбано основних засобiв на загальну суму 3 604,3 тис.грн.).</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Iнформацiя про всi обмеження на використання майна емiтента: обмежень на використання майна емiтента немає.</w:t>
            </w: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 попередній період</w:t>
            </w:r>
          </w:p>
        </w:tc>
      </w:tr>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51 479,9</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70 428,8</w:t>
            </w:r>
          </w:p>
        </w:tc>
      </w:tr>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3 116,9</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3 116,9</w:t>
            </w:r>
          </w:p>
        </w:tc>
      </w:tr>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3 116,9</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3 116,9</w:t>
            </w:r>
          </w:p>
        </w:tc>
      </w:tr>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1 651,6</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73,1</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Вартiсть чистих активiв бiльша за розмiр статутного капiталу. В законодавствi немає вимог щодо вiдповiдностi вартостi чистих активiв розмiру статутного капiталу, тому таку вiдповiднiсть вказати неможливо.</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6E7D00" w:rsidRPr="006E7D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погашення</w:t>
            </w:r>
          </w:p>
        </w:tc>
      </w:tr>
      <w:tr w:rsidR="006E7D00" w:rsidRPr="006E7D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405,9</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Податок на додану вартiсть</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243,1</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125,2</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Розмiщення вiдходiв у спецiально вiдведених мiсцях</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34,8</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867,8</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293,2</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574,4</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Розрахунки з iншими кредиторами</w:t>
            </w:r>
          </w:p>
        </w:tc>
        <w:tc>
          <w:tcPr>
            <w:tcW w:w="14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0,2</w:t>
            </w:r>
          </w:p>
        </w:tc>
        <w:tc>
          <w:tcPr>
            <w:tcW w:w="194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1 273,7</w:t>
            </w:r>
          </w:p>
        </w:tc>
        <w:tc>
          <w:tcPr>
            <w:tcW w:w="19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"СТРАХОВА КОМПАНIЯ "КОЛОННЕЙД УКРАЇНА"</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25395057</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04070, м.Київ, ВУЛИЦЯ IЛЛIНСЬКА, будинок 8</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(044)-559-95-70</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65.12 - Iншi види страхування, крiм страхування життя (основний)</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Страхування вiдповiдальностi керiвникiв</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"СK"УНIВЕРСАЛЬНА"</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20113829</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01133, м. Київ, бульвар Лесi Українки,9</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27-0027/31547</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Нацiональна комiсiя, що здiйснює державне регулювання у сверi ринкiв фiнансових послуг</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23.04.2024</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0800 500-381</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65.12 - Iншi види страхування, крiм страхування життя (основний)</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65.20 - Перестрахування</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66.22 - Дiяльнiсть страхових агентiв i брокерiв</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Iншi види страхування, крiм страхування життя</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"СТРАХОВА КОМПАНIЯ "УНIКА"</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20033533</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04112, м.Київ, вул.Телiги Олени, будинок 6 лiт.В</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(044)-225-60-00</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65.12 - Iншi види страхування, крiм страхування життя (основний)</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Страхування майна</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Публiчне акцiонерне товариство "Нацiональний депозитарiй України"</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30370711</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04107, м.Київ, вул. Якубенкiвська, 7-Г</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 363-04-00</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62.09 - Iнша дiяльнiсть у сферi iнформацiйних технологiй i комп'ютерних систем</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62.02 - Консультування з питань iнформатизацiї</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Державна установа "Агентство з розвитку iнфраструктури фондового ринку України"</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Державна організація (установа, заклад)</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21676262</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03150, м. Київ, вул. Антоновича,  51, офiс 1206</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 287-56-70</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84.13 - Регулювання та сприяння ефективному веденню економiчної дiяльностi</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62.02 - Консультування з питань iнформатизацiї</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Дiє без лiцензiї. Надання послуг з оприлюднення та подання до НКЦПФР регульованої iнформацiї</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АКЦIОНЕРНЕ ТОВАРИСТВО "КОМЕРЦIЙНИЙ БАНК "ГЛОБУС"</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35591059</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04073, м. Київ, провулок Куренiвський, 19/5</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АЕ 263375</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Нацiональна комiсiя з цiнних паперiв та фондового ринку України</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12.10.2013</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 585-71-00</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64.19 - Iншi види грошового посередництва</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Iншi види грошового посередництва</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"СТРАХОВА КОМПАНIЯ" ЄВРОIНС УКРАЇНА"</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22868348</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03150, м. Київ, вул. Велика Василькiвська,буд.102</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(097) 691-36-34</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65.12 - Iншi види страхування, крiм страхування життя (основний)</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65.20 - Перестрахування</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66.22 - Дiяльнiсть страхових агентiв i брокерiв</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Iншi види страхування, крiм страхування життя</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"МЕТЛАЙФ"</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32109907</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01032, м. Київ, вул. Симона Петлюри, 14</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АЕ 284405</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Державна комiссiя з регулювання ринкiв фiнансових послуг України</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13.03.2014</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 494-13-43</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65.11 - Страхування життя</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66.29 - Iнша допомiжна дiяльнiсть у сферi страхування та пенсiйного забезпечення</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Страхування життя</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ТОВАРИСТВО З ОБМЕЖЕНОЮ ВIДПОВIДАЛЬНIСТЮ "ЕМКОН"</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Товариство з обмеженою відповідальністю</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36557511</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03113, м. Київ, вул. Макуха Василя, будинок 5</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(044) 456-90-04</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70.22 - Консультування з питань комерцiйної дiяльностi й керування</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58.11 -  Видання книг</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58.13 - Видання газет</w:t>
            </w:r>
          </w:p>
        </w:tc>
      </w:tr>
      <w:tr w:rsidR="006E7D00" w:rsidRPr="006E7D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Консультацiйнi послуги з питань комерцiйної дiяльностi й керування щодо пiдготовки рiчної iнформацiї</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2000"/>
        <w:gridCol w:w="2000"/>
        <w:gridCol w:w="1900"/>
        <w:gridCol w:w="2000"/>
        <w:gridCol w:w="2000"/>
        <w:gridCol w:w="3000"/>
      </w:tblGrid>
      <w:tr w:rsidR="006E7D00" w:rsidRPr="006E7D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Облік часток особи в обліковій системі часток</w:t>
            </w:r>
          </w:p>
        </w:tc>
      </w:tr>
      <w:tr w:rsidR="006E7D00" w:rsidRPr="006E7D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w:t>
            </w:r>
          </w:p>
        </w:tc>
      </w:tr>
      <w:tr w:rsidR="006E7D00" w:rsidRPr="006E7D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51/15/1/10</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12 467 600</w:t>
            </w:r>
          </w:p>
        </w:tc>
        <w:tc>
          <w:tcPr>
            <w:tcW w:w="19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0,25</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Кожною простою акцiєю Товариства її власнику - акцiонеру надається однакова сукупнiсть прав, включаючи права на: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1) участь в управлiннi Товариством;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2) отримання дивiдендiв;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3) отримання у разi лiквiдацiї Товариства частини його майна або вартостi частини майна Товариства;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4) отримання iнформацiї про господарську дiяльнiсть Товариства.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Умови та порядок реалiзацiї цих прав визначаються Законом України "Про акцiонернi товариства" та Статутом. Акцiонери Товариства можуть мати й iншi права, передбаченi актами законодавства.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У разi виплати дивiдендiв Товариство повiдомляє акцiонерiв про дату, розмiр, порядок та строк виплати дивiдендiв шляхом направлення поштою простого листа на адресу акцiонера, зазначену у перелiку  акцiонерiв, складеному в порядку, встановленому законодавством про депозитарну систему України. Порядок та умови виплати Товариством дивiдендiв визначаються Законом України "Про акцiонернi товариства" та рiшенням Загальних зборiв про виплату дивiдендiв. </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Акцiонери Товариства мають обов'язки, передбаченi Законом України "Про акцiонернi товариства" та iншими законами України.</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Мiж акцiонерами Товариства може бути укладений договiр, за яким на акцiонерiв покладаються додатковi обов'язки, у тому числi обов'язок участi у Загальних зборах, i передбачається вiдповiдальнiсть за його недотримання.</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В Товариствi вiдсутнє переважне право акцiонерiв на придбання акцiй Товариства, якi пропонуються їх власником до продажу третiй особi. Акцiонери Товариства мають право продавати чи iншим чином вiдчужувати належнi їм акцiї в будь-який час без жодного погодження з iншими акцiонерами чи органами Товариства. </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Вiдсутня</w:t>
            </w:r>
          </w:p>
        </w:tc>
        <w:tc>
          <w:tcPr>
            <w:tcW w:w="3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6E7D00" w:rsidRPr="006E7D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Частка у статутному капіталі (у відсотках)</w:t>
            </w:r>
          </w:p>
        </w:tc>
      </w:tr>
      <w:tr w:rsidR="006E7D00" w:rsidRPr="006E7D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w:t>
            </w:r>
          </w:p>
        </w:tc>
      </w:tr>
      <w:tr w:rsidR="006E7D00" w:rsidRPr="006E7D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14.10.2010</w:t>
            </w:r>
          </w:p>
        </w:tc>
        <w:tc>
          <w:tcPr>
            <w:tcW w:w="13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51/15/1/10</w:t>
            </w:r>
          </w:p>
        </w:tc>
        <w:tc>
          <w:tcPr>
            <w:tcW w:w="24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Одеське територiальне управлiння ДКЦПФР</w:t>
            </w:r>
          </w:p>
        </w:tc>
        <w:tc>
          <w:tcPr>
            <w:tcW w:w="17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UA4000094726</w:t>
            </w:r>
          </w:p>
        </w:tc>
        <w:tc>
          <w:tcPr>
            <w:tcW w:w="16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12 467 600</w:t>
            </w:r>
          </w:p>
        </w:tc>
        <w:tc>
          <w:tcPr>
            <w:tcW w:w="14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3 116 900</w:t>
            </w:r>
          </w:p>
        </w:tc>
        <w:tc>
          <w:tcPr>
            <w:tcW w:w="17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w:t>
            </w:r>
          </w:p>
        </w:tc>
      </w:tr>
      <w:tr w:rsidR="006E7D00" w:rsidRPr="006E7D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Торгiвля цiнними паперами на внутрiшнiх та зовнiшних ринках не здiйснюється. Фактiв допуску/скасування допуску цiнних паперiв до торгiв на регульованому фондовому ринку не було. Додаткової емiсiї не було.</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850"/>
        <w:gridCol w:w="3850"/>
        <w:gridCol w:w="3850"/>
        <w:gridCol w:w="3850"/>
      </w:tblGrid>
      <w:tr w:rsidR="006E7D00" w:rsidRPr="006E7D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інших не голосуючих акцій, шт.</w:t>
            </w:r>
          </w:p>
        </w:tc>
      </w:tr>
      <w:tr w:rsidR="006E7D00" w:rsidRPr="006E7D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UA4000094726</w:t>
            </w:r>
          </w:p>
        </w:tc>
        <w:tc>
          <w:tcPr>
            <w:tcW w:w="38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11876755</w:t>
            </w:r>
          </w:p>
        </w:tc>
        <w:tc>
          <w:tcPr>
            <w:tcW w:w="38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38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590845</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000"/>
        <w:gridCol w:w="3500"/>
        <w:gridCol w:w="2400"/>
      </w:tblGrid>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Строк обмеження</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14.10.2010</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Одеське територiальне управлiння ДКЦПФР</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UA4000094726</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Вiдповiдно до вимог пункту 10 роздiлу VI Закону України "Про депозитарну систему України" у разi якщо власник цiнних паперiв до 1 липня 2024 року не уклав з депозитарною установою, обраною емiтентом, договiр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 власнику жодних прав за цiнними паперами.</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Кiлькiсть акцiй за таким обмеженням 590845 простi iменнi акцiї</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4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До укладення акцiонером Товариства договору з депозитарною установою про обслуговування рахунку в цiнних паперах</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14.10.2010</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51/15/1/10</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UA4000094726</w:t>
            </w:r>
          </w:p>
        </w:tc>
        <w:tc>
          <w:tcPr>
            <w:tcW w:w="20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12 467 600</w:t>
            </w:r>
          </w:p>
        </w:tc>
        <w:tc>
          <w:tcPr>
            <w:tcW w:w="21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3 116 900</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11 876 755</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28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Характеристика обмеження: Вiдсутнi</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6837" w:h="11905" w:orient="landscape"/>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III. Фінансова інформація</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6E7D00" w:rsidRPr="006E7D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Відсоткове вираження по відношенню від сукупного доходу особи за результатами звітного року</w:t>
            </w:r>
          </w:p>
        </w:tc>
      </w:tr>
      <w:tr w:rsidR="006E7D00" w:rsidRPr="006E7D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r>
      <w:tr w:rsidR="006E7D00" w:rsidRPr="006E7D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52.10 - Складське господарство</w:t>
            </w:r>
          </w:p>
        </w:tc>
        <w:tc>
          <w:tcPr>
            <w:tcW w:w="29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19314</w:t>
            </w:r>
          </w:p>
        </w:tc>
        <w:tc>
          <w:tcPr>
            <w:tcW w:w="29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Чинними нормами законодавства не передбачено обов'язку для малих пiдприємств розмiщувати рiчну фiнансову звiтнiсть на власному вебсайтi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Вiдповiдно до п. 25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емiтенти, якi слкадають фiнансову звiтнiсть за мiжнародними стандартами фiнансової звiтносi вказують URL-адресу вебсторiнки Центру збору фiнансової звiтностi, за якою розмiщено електронний файл фiнансовох звiтностi, складеної на основi таксономiї фiнансової звiтностi за мiжнародними стандартами фiнансової звiтностi в форматi XBRL. Товариство складає фiнансову звiтнiсть за нацiональними стандартами фiнансової звiтностi, тому URL-адреса вебсторiнки Центру збору фiнансової звiтностi, за якою розмiщено електронний файл фiнансовох звiтностi, не надається.</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та пiдписують рiчну iнформацiю емiтента, така, що, наскiльки це їм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звiт керiвництва включає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Товариство стикається у своїй господарськiй дiяльностi.</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Перспективами подальшого розвитку Товариства є отримання та накопичення прибутку вiд надання послуг, який буде використаний Товариством та/або його акцiонерами в майбутньому з урахуванням фiнансово-економiчної ситуацiї в Українi.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укладення  деривативiв або вчинення правочинiв щодо похiдних ЦП протягом звiтного перiоду не надається, тому що Товариство не здiйснювало таких операцiй.</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деривативiв та не вчиняло правочинiв щодо похiдних цiнних паперiв, якi впливають на оцiнку активiв, зобов'язань, фiнансового стану i доходiв або витрат Товариства.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Даний ризик передбачає зниження вартостi активiв внаслiдок змiни ринкових факторiв. Ринковий ризик має макроекономiчну природу, тобто джерелами ринкових ризикiв є макроекономiчнi показники фiнансової системи - iндекси ринкiв, кривi процентних ставок.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Фiнансовий ризик невиконання дебiторами своїх зобов'язань перед Товариством. В умовах середовища, в якому зiйснює свою дiяльнiсть Товариство (надання послуг складсього збарiгання зерна) та характером його сезонностi, вiдсутнiсть грошових коштiв у дебiторiв для погашення своєї заборгованостi може бути досить частим явищем, особливо, стосовно поклажодавцiв - СГ виробникiв. Така ситуацiя може тривати до моменту поки поклажодавець не отримує грошовi кошти вiд операцiй з продажу такого зерна. Проте, система контролю Товариства забезпечила внесення обов'язкових умов в договорах складського зберiгання зерна вiдповiдно до яких: вiдвантаження / переоформлення зерна поклажодавцю не вiдбувається до моменту остаточного розрахунку за наданi послуги. Крiм того, зерно, отримане по договору складського зберiгання, є свого роду забезпеченням обов'язку погасити заборгованiть за наданi послуги (у випадку якщо поклажодавець в узгоджений сторонами термiн не забере зерно - Товариство має право його продати в порядку, передбаченому чинним законодавством для невитребуваного зерна. Вирученi кошти, за вирахуванням сум заборгованостi за наданi послуги, повертаються поклажодавцю. Таким чином, завдяки дiючим системам внутрiшнього контролю кредитний ризик  невиконання дебiторами своїх зобов'язань нiвелюється.</w:t>
      </w:r>
    </w:p>
    <w:p w:rsidR="006E7D00" w:rsidRPr="006E7D00" w:rsidRDefault="006E7D00">
      <w:pPr>
        <w:widowControl w:val="0"/>
        <w:autoSpaceDE w:val="0"/>
        <w:autoSpaceDN w:val="0"/>
        <w:adjustRightInd w:val="0"/>
        <w:spacing w:after="0" w:line="240" w:lineRule="auto"/>
        <w:jc w:val="both"/>
        <w:rPr>
          <w:rFonts w:ascii="Times New Roman CYR" w:hAnsi="Times New Roman CYR" w:cs="Times New Roman CYR"/>
          <w:b/>
          <w:sz w:val="24"/>
          <w:szCs w:val="24"/>
        </w:rPr>
      </w:pPr>
    </w:p>
    <w:p w:rsidR="006E7D00" w:rsidRPr="006E7D00" w:rsidRDefault="006E7D00">
      <w:pPr>
        <w:widowControl w:val="0"/>
        <w:autoSpaceDE w:val="0"/>
        <w:autoSpaceDN w:val="0"/>
        <w:adjustRightInd w:val="0"/>
        <w:spacing w:after="0" w:line="240" w:lineRule="auto"/>
        <w:jc w:val="both"/>
        <w:rPr>
          <w:rFonts w:ascii="Times New Roman CYR" w:hAnsi="Times New Roman CYR" w:cs="Times New Roman CYR"/>
          <w:b/>
          <w:sz w:val="24"/>
          <w:szCs w:val="24"/>
        </w:rPr>
      </w:pPr>
      <w:r w:rsidRPr="006E7D00">
        <w:rPr>
          <w:rFonts w:ascii="Times New Roman CYR" w:hAnsi="Times New Roman CYR" w:cs="Times New Roman CYR"/>
          <w:b/>
          <w:sz w:val="24"/>
          <w:szCs w:val="24"/>
        </w:rPr>
        <w:t>Звіт про корпоративне управління</w:t>
      </w:r>
    </w:p>
    <w:p w:rsidR="006E7D00" w:rsidRPr="006E7D00" w:rsidRDefault="006E7D00">
      <w:pPr>
        <w:widowControl w:val="0"/>
        <w:autoSpaceDE w:val="0"/>
        <w:autoSpaceDN w:val="0"/>
        <w:adjustRightInd w:val="0"/>
        <w:spacing w:after="0" w:line="240" w:lineRule="auto"/>
        <w:jc w:val="both"/>
        <w:rPr>
          <w:rFonts w:ascii="Times New Roman CYR" w:hAnsi="Times New Roman CYR" w:cs="Times New Roman CYR"/>
          <w:b/>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30.04.2025</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очне голосування</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ab/>
              <w:t>електронне голосування</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X</w:t>
            </w:r>
            <w:r w:rsidRPr="006E7D00">
              <w:rPr>
                <w:rFonts w:ascii="Times New Roman CYR" w:eastAsiaTheme="minorEastAsia" w:hAnsi="Times New Roman CYR" w:cs="Times New Roman CYR"/>
                <w:sz w:val="24"/>
                <w:szCs w:val="24"/>
              </w:rPr>
              <w:tab/>
              <w:t>опитування (дистанційно)</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Наглядова рада. Загальнi збори акцiонерiв були проведенi вiдповiдно до статтi 58 Закону України "Про акцiонернi товариства"</w:t>
            </w:r>
          </w:p>
        </w:tc>
      </w:tr>
      <w:tr w:rsidR="006E7D00" w:rsidRPr="006E7D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b/>
                <w:bCs/>
                <w:sz w:val="24"/>
                <w:szCs w:val="24"/>
              </w:rPr>
              <w:t>Питання порядку денного та прийняті рішення:</w:t>
            </w:r>
          </w:p>
        </w:tc>
      </w:tr>
      <w:tr w:rsidR="006E7D00" w:rsidRPr="006E7D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 Про призначення членiв лiчильної комiсiї з дистанцiйних рiчних загальних зборiв акцiонерiв та прийняття рiшення про припинення їх повноважень</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Прийняте рiшення: Обрати лiчильну комiсiю рiчних загальних зборiв акцiонерiв у складi: Дементьєва Анжела Георгiївна, Гонорацька Iнна Анатолiївна, Карпенко Iрина Миколаївна.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 Затвердження рiчного звiту Товариства за 2024 рiк.</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Прийняте рiшення: Затвердити рiчний звiт Товариства за 2024 рiк.</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3. Розподiл прибутку/врегулювання збиткiв Товариства за 2024 рiк з урахуванням вимог, передбачених законом.</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Прийняте рiшення: Збиток Товариства у сумi 18220.8 тис грн. за 2024 рiк покрити за рахунок майбутнiх перiодiв.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4. Про розкриття акцiонерам Звiту про корпоративне управлiння.</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Прийняте рiшення:Прийняти до уваги Звiт про корпоративне управлiння за 2024.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5. Прийняття рiшення за наслiдками розгляду звiту наглядової ради та звiту директора Товариства за 2024 рiк.</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Прийняте рiшення: Звiт наглядової ради та звiт директора Товариства прийняти до уваги.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6. Про припинення повноважень дiючого складу наглядової ради Товариства.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Прийняте рiшення: Припинити повноваження дiючого складу наглядової ради Товариства: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Москальчук Олександр Олександрович (голова наглядової ради);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Мiщенко Дмитро Анатолiйович (член наглядової ради);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 Дорощенко Олексiй Миколайович (член наглядової ради).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7. Про обрання членiв наглядової ради Товариства.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Прийняте рiшення: Обрати головою наглядової ради Товариства Москальчука Олександра Олександровича - представника акцiонера Товариства, юридичної особи - Приватне товариство з обмеженою вiдповiдальнiстю "Ренеско Б.В." реєстрацiйний номер 24257792, Країна: Нiдерланди.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Обрати членом наглядової ради Товариства Мiщенко Дмитра Анатолiйовича представника акцiонера Товариства, юридичної особи - Приватне товариство з обмеженою вiдповiдальнiстю "Ренеско Б.В." реєстрацiйний номер 24257792. Країна: Нiдерланди.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Обрати членом наглядової ради Дорошенко Олексiя Миколайовича - представника акцiонера Товариства, юридичної особи - Приватне товариство з обмеженою вiдповiдальнiстю "Ренеско Б.В." реєстрацiйний номер 24257792. Країна: Нiдерланди.</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8. Про надання попередньої згоди на вчинення значних правочинiв.</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Прийняте рiшення: Попередньо надати згоду директору на вчинення Товариством значних правочинiв протягом року з моменту прийняття цього рiшення рiчними загальними зборами акцiонерiв в порядку ч. 2 ст. 72 Закону України "Про акцiонернi товариства":</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 ринкова вартiсть товарiв або послгу, якi є предметом таких правочинiв, перевищує 25% вартостi активiв Товариства за даними фiнансової звiтностi Товариства за 2024 рiк, в тому числi з надання та/або отримання фiнансової допомоги, та вартiсть яких загалом не має перевищувати 100 000 000 гривень.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9. Про внесення змiн до статуту Товариства, затвердження i надання повноважень на пiдписання нової редакцiї статуту Товариства та його державної реєстрацiї. </w:t>
            </w:r>
          </w:p>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Прийняте рiшення: Внести змiни до статуту i затвердити його нову редакцiю. Надати повноваження директору товариства пiдписати нову редакцiю статуту Товариства та провести усi необхiднi дiї щодо державної реєстрацiї нової редакцiї статуту Товариства. </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b/>
                <w:bCs/>
                <w:sz w:val="24"/>
                <w:szCs w:val="24"/>
              </w:rPr>
              <w:t>URL-адреса протоколу загальних зборів:</w:t>
            </w:r>
          </w:p>
        </w:tc>
        <w:tc>
          <w:tcPr>
            <w:tcW w:w="7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https://www.viterraukraine.com.ua/uk/What-we-do/Storage/Balta/balta-info/balta_other</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6E7D00" w:rsidRPr="006E7D00">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ab/>
              <w:t>Голова / член комітету ради</w:t>
            </w:r>
          </w:p>
        </w:tc>
      </w:tr>
      <w:tr w:rsidR="006E7D00" w:rsidRPr="006E7D00">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Назва комітету - 3</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Москальчук Олександр Олександрович (01.01.2025-18.12.2025)</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Мiщенко Дмитро Анатолiйович (01.01.2025 - 31.12.2025)</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Дорощенко Олексiй Миколайович  (01.01.2025-31.12.2025)</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Панчишин Антонiна Миколаївна (18.12.2025-31.12.2025)</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6E7D00" w:rsidRPr="006E7D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12</w:t>
            </w:r>
          </w:p>
        </w:tc>
      </w:tr>
      <w:tr w:rsidR="006E7D00" w:rsidRPr="006E7D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12</w:t>
            </w:r>
          </w:p>
        </w:tc>
      </w:tr>
      <w:tr w:rsidR="006E7D00" w:rsidRPr="006E7D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0</w:t>
            </w:r>
          </w:p>
        </w:tc>
      </w:tr>
      <w:tr w:rsidR="006E7D00" w:rsidRPr="006E7D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Прийняття рiшень щодо скликання рiчних загальних зборiв акцiонерiв; призначення виконавчого органу або тво директора, затвердження тарифiв, затвердження значних правочинiв та правочинiв щодо яких є обмеження компетенцiї виконавчого органу згiдно положень статуту.</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Зазначається така iнформацiя:</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оцiнка складу, структури та дiяльностi ради як колегiального органу (колективної придатностi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Товариствi запроваджено дворiвневу структуру управлiння. Наглядова Рада Товариства  є органом Товариства, який здiйснює контроль за дiяльнiстю Директора та захист прав акцiонерiв. Очолює роботу Наглядової ради Голова Наглядової ради. До складу Наглядової ради входять 3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звiтному перiодi функцiонувала Наглядова рада ПрАТ "Балтське хлiбоприймальне пiдприємство", обрана загальними зборами акцiонерiв вiд 30.12.2022 року на пiдставi протоколу №20/01-23 вiд 20.01.2023 року, переобрана загальними зборами акцiонерiв вiд 30.04.2025 року на пiдставi протоколу вiд 06.05.2025 у наступному складi: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Москальчук Олександр Олександрович - Голова Наглядової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Дорощенко Олексiй Миколайович - член Наглядової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Мiщенко Дмитро Анатолiйович - член Наглядової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зi змiною акцiонером свого представника 18.12.2025 року було припинено повноваження Голови Наглядової ради Москальчука Олександра Олександровича та набуто повноважень Голови Наглядової ради Панчишин Антонiною Миколаївною.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члени  Наглядової ради є представниками акцiонера.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оцiнка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Компетентнiсть та ефективнiсть кожного члена Наглядової ради перебуває на належному рiвнi. Члени Наглядової ради здiйснюють дiяльнiсть посадових осiб у iнших юридичних особах та виконують свої обов'язки посадових осiб на безоплатнiй основi.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оцiнка незалежностi кожного з незалежних членiв ради;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члени Наглядової ради є представниками акцiонера.</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оцiнка компетентностi та ефективностi кожного з комiтетiв ради, їхнi функцiональнi повноваження. При цьому, комiтет ради з питань аудиту окремо має зазначати iнформацiю про свої висновки щодо незалежностi проведеного зовнiшнього аудиту особи, зокрема незалежностi аудитора (аудиторської фiрми);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складi Наглядової ради комiтети не створювались.</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оцiнка виконання радою поставлених цiлей особи. У межах цього пункту зазначається iнформацiя щодо впливу рiшень, прийнятих радою протягом звiтного перiоду, з метою забезпечення досягнення поставлених перед особою стратегiчних цiлей. При цьому iнформацiя щодо стратегiчних цiлей особи має мiстити загальний опис таких стратегiчних цiлей i не потребує розкриття iнформацiї (показникiв), що, згiдно з внутрiшнiми документами особи належить до iнформацiї з обмеженим доступом (конфiденцiйної iнформацiї та комерцiйної таємницi);</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2025 роцi Наглядова Рада належним чином виконувала завдання, покладенi на неї чинним законодавством та Статутом Товариства. </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Дiї, здiйсненi Наглядовою Радою, забезпечили стабiльну безперервну дiяльнiсть Товариства вiдповiдно до вимог законодавства. Фактiв iстотних порушень законодавства України пiд час здiйснення Товариством господарської дiяльностi у 2025 роцi не виявлено.</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w:t>
      </w:r>
    </w:p>
    <w:p w:rsidR="006E7D00" w:rsidRDefault="006E7D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Наглядової ради зумовили позитвнi змiни у дiяльностi Товариства.</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Самолюк Сергiй Iванович, 01.01.2025-31.12.2025</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Приймались рiшення стосовно основних напрямкiв фiнансово-господарської дiяльностi Товариства та визначення заходiв, запланованих на 2025 рiк для забезпечення стабiльного функцiонування Товариства. Укладення правочинiв вiд iменi Товариства.</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немає</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Сторожук Сергiй Петрович (головний iнженер)-</w:t>
            </w:r>
            <w:r w:rsidRPr="006E7D00">
              <w:rPr>
                <w:rFonts w:ascii="Times New Roman CYR" w:eastAsiaTheme="minorEastAsia" w:hAnsi="Times New Roman CYR" w:cs="Times New Roman CYR"/>
                <w:sz w:val="24"/>
                <w:szCs w:val="24"/>
              </w:rPr>
              <w:tab/>
              <w:t>з 11.06.2025 року по 25.06.2025 року; з 03.12.2025 року по 17.12.2025</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1</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2</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ні</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Опис функцiй пiдроздiлiв першої лiнiї захисту та перелiк ключових пiдроздiлiв вiдсутнiй, так як їх впровадження для Товариства не є обов'язковим </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Опис функцiй пiдроздiлiв другої лiнiї захисту та перелiк ключових пiдроздiлiв вiдсутнiй, так як їх впровадження для Товариства не є обов'язковим </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Опис функцiй пiдроздiлiв третьої лiнiї захисту та перелiк ключових пiдроздiлiв вiдсутнiй, так як їх впровадження для Товариства не є обов'язковим </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Наявність затвердженого документу (документів), який(які) визначає(ють) політику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ні</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У Товариства вiдсутнi основнi внутрiшнi документи щодо системи внутрiшнього контролю, так як їх впровадження не є обов'язковим для Товариства</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 </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положення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both"/>
              <w:rPr>
                <w:rFonts w:ascii="Times New Roman CYR" w:eastAsiaTheme="minorEastAsia" w:hAnsi="Times New Roman CYR" w:cs="Times New Roman CYR"/>
              </w:rPr>
            </w:pPr>
            <w:r w:rsidRPr="006E7D00">
              <w:rPr>
                <w:rFonts w:ascii="Times New Roman CYR" w:eastAsiaTheme="minorEastAsia" w:hAnsi="Times New Roman CYR" w:cs="Times New Roman CYR"/>
              </w:rPr>
              <w:t>Звiт системи внутрiшнього контролю (у тому числi комплаєнс-ризикiв) вiдсутнiй, так як не є обов'язковим для Товариства, тому не готується</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ні</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Рiшення про затвердження декларацiї схильностi до ризикiв не приймалося</w:t>
            </w:r>
          </w:p>
        </w:tc>
      </w:tr>
      <w:tr w:rsidR="006E7D00" w:rsidRPr="006E7D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6E7D00">
              <w:rPr>
                <w:rFonts w:ascii="Times New Roman CYR" w:eastAsiaTheme="minorEastAsia" w:hAnsi="Times New Roman CYR" w:cs="Times New Roman CYR"/>
                <w:sz w:val="24"/>
                <w:szCs w:val="24"/>
              </w:rPr>
              <w:t xml:space="preserve"> </w:t>
            </w:r>
          </w:p>
        </w:tc>
      </w:tr>
    </w:tbl>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1750"/>
        <w:gridCol w:w="1750"/>
      </w:tblGrid>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Розмір пакета акцій, що знаходиться в прямому та (опосередкованому) володінні</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Renaisco B.V. / Ренеско Б.В.(Королiвство Нiдерландiв) Blaak 31, 3011 GA, Rotterdam, The NetherlandsReg Number: 24257792</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95,3</w:t>
            </w:r>
          </w:p>
        </w:tc>
        <w:tc>
          <w:tcPr>
            <w:tcW w:w="17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95,3</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Koninklijke Bunge B.V./Конiнклiйке Бунге Б.ВRegistration Number/Реєстрацiйний номер: 24020546</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95,3</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Bunge Holdings B.V./Бунге Холдiнгс Б.В.                                 Registration Number|/Реєстрацiйний номер: 24356285</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95,3</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Bunge Global S.A. / Бунге Глобал С.А.Registration Number|/Реєстрацiйний номер:  CHE-318.451.510</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95,3</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3500"/>
      </w:tblGrid>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3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Опис наявного обмеження</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Згiдно iз реєстром акцiонерiв</w:t>
            </w: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Вiдповiдно до вимог пункту 10 роздiлу VI Закону України "Про депозитарну систему України", у разi якщо власник цiнних паперiв до 1 липня 2024 року не уклав з депозитарною установою, обраною емiтентом, договiр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 власнику жодних прав за цiнними паперами. Кiлькiсть акцiй за таким обмеженням 590845 простих iменних акцiй</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500"/>
        <w:gridCol w:w="1500"/>
        <w:gridCol w:w="3140"/>
        <w:gridCol w:w="3160"/>
        <w:gridCol w:w="3100"/>
      </w:tblGrid>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Порядок призначення та звільнення посадової особи</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Чорний Юрiй Миколайович</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Член Ревiзiйної комiсiї, загальнi збори акцiонерiв, 18.04.2017, протокол б/н</w:t>
            </w:r>
          </w:p>
        </w:tc>
        <w:tc>
          <w:tcPr>
            <w:tcW w:w="31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Усi питання, якi стосуються проведення перевiрок фiнансово-господарської дiяльностi Товариства</w:t>
            </w:r>
          </w:p>
        </w:tc>
        <w:tc>
          <w:tcPr>
            <w:tcW w:w="3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Призначення та звiльнення Ревiзора здiйснюється за рiшенням Загальних зборiв акцiонерiв</w:t>
            </w:r>
          </w:p>
        </w:tc>
      </w:tr>
      <w:tr w:rsidR="006E7D00" w:rsidRPr="006E7D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Москаленко Микола Павлович</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Головний бухгалтер, Директор, наказ вiд 01.08.2006 № 29</w:t>
            </w:r>
          </w:p>
        </w:tc>
        <w:tc>
          <w:tcPr>
            <w:tcW w:w="31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Органiзацiя та ведення бухгалтерського облiку</w:t>
            </w:r>
          </w:p>
        </w:tc>
        <w:tc>
          <w:tcPr>
            <w:tcW w:w="31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Призначається та звiльняється Директором Товариства</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6837" w:h="11905" w:orient="landscape"/>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URL-адреси, за якими розміщена інформація, яка розкривалася протягом звітного року</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зміну складу посадових осіб емітента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03.02.2025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https://www.viterraukraine.com.ua/uk/What-we-do/Storage/Balta/balta-info/balta_special</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https://smida.gov.ua/db/feed/124372</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07.05.2025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https://www.viterraukraine.com.ua/uk/What-we-do/Storage/Balta/balta-info/balta_special</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https://smida.gov.ua/db/feed/130464</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прийняття рішення про попереднє надання згоди на вчинення значних правочинів</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07.05.2025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https://www.viterraukraine.com.ua/uk/What-we-do/Storage/Balta/balta-info/balta_special</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https://smida.gov.ua/db/feed/130465</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зміну складу посадових осіб емітента</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19.12.2025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https://www.viterraukraine.com.ua/uk/What-we-do/Storage/Balta/balta-info/balta_special</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https://smida.gov.ua/db/feed/143569</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прийняття рішення про надання згоди на вчинення значних правочинів</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19.11.2025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https://www.viterraukraine.com.ua/uk/What-we-do/Storage/Balta/balta-info/balta_special</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URL-адреси, за якими розміщена інформація, яка розкривалася протягом звітного року</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Рiчний звiт емiтента за 2022 рiк</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30.09.2025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https://www.viterraukraine.com.ua/uk/What-we-do/Storage/Balta/balta-info/balta_regulated</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Рiчний звiт емiтента за 2023 рiк</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30.09.2025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https://www.viterraukraine.com.ua/uk/What-we-do/Storage/Balta/balta-info/balta_regulated</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Рiчний звiт емiтента за 2024 рiк</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28.10.2025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https://www.viterraukraine.com.ua/uk/What-we-do/Storage/Balta/balta-info/balta_regulated</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Відомості про проведення загальних зборів</w:t>
            </w: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Повiдомлення про скликання загальних зборiв акцiонерiв</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28.03.2025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https://smida.gov.ua/db/feed/127716</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Iнформацiйне повiдомлення ПрАТ Балтьске ХПП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28.03.2025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Проект Статуту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18.04.2025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Бюлетень для голосування 30.04.2025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20.04.2025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Бюлетень для кумулятивного голосування 30.04.2025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24.04.2025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Матерiали рiчних загальних зборiв акцiонерiв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12.05.2025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Протокол ЗЗА_ПрАТ Балтське ХПП_2025.pdf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12.05.2025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r w:rsidR="006E7D00" w:rsidRPr="006E7D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w:t>
            </w:r>
          </w:p>
        </w:tc>
        <w:tc>
          <w:tcPr>
            <w:tcW w:w="245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Органiзацiйна структура 31.12.2024.pdf.xml.zip </w:t>
            </w:r>
          </w:p>
        </w:tc>
        <w:tc>
          <w:tcPr>
            <w:tcW w:w="1500" w:type="dxa"/>
            <w:tcBorders>
              <w:top w:val="single" w:sz="6" w:space="0" w:color="auto"/>
              <w:left w:val="single" w:sz="6" w:space="0" w:color="auto"/>
              <w:bottom w:val="single" w:sz="6" w:space="0" w:color="auto"/>
              <w:right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01.01.2025</w:t>
            </w:r>
          </w:p>
        </w:tc>
        <w:tc>
          <w:tcPr>
            <w:tcW w:w="5500" w:type="dxa"/>
            <w:tcBorders>
              <w:top w:val="single" w:sz="6" w:space="0" w:color="auto"/>
              <w:left w:val="single" w:sz="6" w:space="0" w:color="auto"/>
              <w:bottom w:val="single" w:sz="6" w:space="0" w:color="auto"/>
            </w:tcBorders>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https://www.viterraukraine.com.ua/uk/What-we-do/Storage/Balta/balta-info/balta_other</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tblPr>
      <w:tblGrid>
        <w:gridCol w:w="2160"/>
        <w:gridCol w:w="4490"/>
        <w:gridCol w:w="1990"/>
        <w:gridCol w:w="1360"/>
      </w:tblGrid>
      <w:tr w:rsidR="006E7D00" w:rsidRPr="006E7D00">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КОДИ</w:t>
            </w:r>
          </w:p>
        </w:tc>
      </w:tr>
      <w:tr w:rsidR="006E7D00" w:rsidRPr="006E7D00">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2026.01.01</w:t>
            </w:r>
          </w:p>
        </w:tc>
      </w:tr>
      <w:tr w:rsidR="006E7D00" w:rsidRPr="006E7D00">
        <w:tblPrEx>
          <w:tblCellMar>
            <w:top w:w="0" w:type="dxa"/>
            <w:bottom w:w="0" w:type="dxa"/>
          </w:tblCellMar>
        </w:tblPrEx>
        <w:tc>
          <w:tcPr>
            <w:tcW w:w="2160" w:type="dxa"/>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Підприємство</w:t>
            </w:r>
          </w:p>
        </w:tc>
        <w:tc>
          <w:tcPr>
            <w:tcW w:w="4490" w:type="dxa"/>
            <w:vMerge w:val="restart"/>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ПРИВАТНЕ АКЦIОНЕРНЕ ТОВАРИСТВО "БАЛТСЬКЕ ХЛIБОПРИЙМАЛЬНЕ ПIДПРИЄМСТВО "</w:t>
            </w:r>
          </w:p>
        </w:tc>
        <w:tc>
          <w:tcPr>
            <w:tcW w:w="1990" w:type="dxa"/>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00955213</w:t>
            </w:r>
          </w:p>
        </w:tc>
      </w:tr>
      <w:tr w:rsidR="006E7D00" w:rsidRPr="006E7D00">
        <w:tblPrEx>
          <w:tblCellMar>
            <w:top w:w="0" w:type="dxa"/>
            <w:bottom w:w="0" w:type="dxa"/>
          </w:tblCellMar>
        </w:tblPrEx>
        <w:tc>
          <w:tcPr>
            <w:tcW w:w="2160" w:type="dxa"/>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Територія</w:t>
            </w:r>
          </w:p>
        </w:tc>
        <w:tc>
          <w:tcPr>
            <w:tcW w:w="4490" w:type="dxa"/>
            <w:vMerge w:val="restart"/>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w:t>
            </w:r>
          </w:p>
        </w:tc>
        <w:tc>
          <w:tcPr>
            <w:tcW w:w="1990" w:type="dxa"/>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UA51120030010033524</w:t>
            </w:r>
          </w:p>
        </w:tc>
      </w:tr>
      <w:tr w:rsidR="006E7D00" w:rsidRPr="006E7D00">
        <w:tblPrEx>
          <w:tblCellMar>
            <w:top w:w="0" w:type="dxa"/>
            <w:bottom w:w="0" w:type="dxa"/>
          </w:tblCellMar>
        </w:tblPrEx>
        <w:tc>
          <w:tcPr>
            <w:tcW w:w="2160" w:type="dxa"/>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230</w:t>
            </w:r>
          </w:p>
        </w:tc>
      </w:tr>
      <w:tr w:rsidR="006E7D00" w:rsidRPr="006E7D00">
        <w:tblPrEx>
          <w:tblCellMar>
            <w:top w:w="0" w:type="dxa"/>
            <w:bottom w:w="0" w:type="dxa"/>
          </w:tblCellMar>
        </w:tblPrEx>
        <w:trPr>
          <w:trHeight w:val="298"/>
        </w:trPr>
        <w:tc>
          <w:tcPr>
            <w:tcW w:w="2160" w:type="dxa"/>
            <w:vMerge w:val="restart"/>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Складське господарство</w:t>
            </w:r>
          </w:p>
        </w:tc>
        <w:tc>
          <w:tcPr>
            <w:tcW w:w="1990" w:type="dxa"/>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b/>
                <w:bCs/>
              </w:rPr>
            </w:pPr>
            <w:r w:rsidRPr="006E7D00">
              <w:rPr>
                <w:rFonts w:ascii="Times New Roman CYR" w:eastAsiaTheme="minorEastAsia"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52.10</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61</w:t>
      </w:r>
    </w:p>
    <w:p w:rsidR="006E7D00" w:rsidRDefault="006E7D0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6E7D00" w:rsidRDefault="006E7D0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66161, Одеська обл., Подiльський р-н, село Бiлине, Залiзнична, 34, (04866) 2-59-13, (04866) 2-59-12</w:t>
      </w:r>
    </w:p>
    <w:p w:rsidR="006E7D00" w:rsidRDefault="006E7D00">
      <w:pPr>
        <w:widowControl w:val="0"/>
        <w:autoSpaceDE w:val="0"/>
        <w:autoSpaceDN w:val="0"/>
        <w:adjustRightInd w:val="0"/>
        <w:spacing w:after="0" w:line="240" w:lineRule="auto"/>
        <w:rPr>
          <w:rFonts w:ascii="Times New Roman CYR" w:hAnsi="Times New Roman CYR" w:cs="Times New Roman CYR"/>
          <w:sz w:val="24"/>
          <w:szCs w:val="24"/>
        </w:r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6E7D00" w:rsidRDefault="006E7D0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31.12.2025 p.</w:t>
      </w:r>
    </w:p>
    <w:p w:rsidR="006E7D00" w:rsidRDefault="006E7D0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6E7D00" w:rsidRPr="006E7D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jc w:val="right"/>
              <w:rPr>
                <w:rFonts w:ascii="Times New Roman CYR" w:eastAsiaTheme="minorEastAsia" w:hAnsi="Times New Roman CYR" w:cs="Times New Roman CYR"/>
              </w:rPr>
            </w:pPr>
            <w:r w:rsidRPr="006E7D00">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right"/>
              <w:rPr>
                <w:rFonts w:ascii="Times New Roman CYR" w:eastAsiaTheme="minorEastAsia" w:hAnsi="Times New Roman CYR" w:cs="Times New Roman CYR"/>
              </w:rPr>
            </w:pPr>
            <w:r w:rsidRPr="006E7D00">
              <w:rPr>
                <w:rFonts w:ascii="Times New Roman CYR" w:eastAsiaTheme="minorEastAsia" w:hAnsi="Times New Roman CYR" w:cs="Times New Roman CYR"/>
              </w:rPr>
              <w:t>1801006</w:t>
            </w:r>
          </w:p>
        </w:tc>
      </w:tr>
      <w:tr w:rsidR="006E7D00" w:rsidRPr="006E7D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кінець звітного періоду</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845,2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7,6</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30876,2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29128,6</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72730,2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75463,2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(41854)</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(46334,6)</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31721,4</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29136,2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765,8</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805,3</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2815,8</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4286,5</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43</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35121,8</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15252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2119,1</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4151,9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490,2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280,5</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239,2</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206,3</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41566</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25025,5</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73287,4</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54161,7</w:t>
            </w:r>
          </w:p>
        </w:tc>
      </w:tr>
    </w:tbl>
    <w:p w:rsidR="006E7D00" w:rsidRDefault="006E7D0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6E7D00" w:rsidRPr="006E7D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На кінець звітного періоду</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3116,9</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3116,9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67311,9</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48363</w:t>
            </w:r>
          </w:p>
        </w:tc>
      </w:tr>
      <w:tr w:rsidR="006E7D00" w:rsidRPr="006E7D00">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70428,8</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51479,9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2497,1</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1408,1</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326,4</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293,2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24,7</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405,9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98,5</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10,4</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475,9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0,2</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361,5</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1273,7</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73287,4</w:t>
            </w:r>
          </w:p>
        </w:tc>
        <w:tc>
          <w:tcPr>
            <w:tcW w:w="1645"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54161,7</w:t>
            </w:r>
          </w:p>
        </w:tc>
      </w:tr>
    </w:tbl>
    <w:p w:rsidR="006E7D00" w:rsidRDefault="006E7D0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6E7D00" w:rsidRDefault="006E7D00">
      <w:pPr>
        <w:widowControl w:val="0"/>
        <w:autoSpaceDE w:val="0"/>
        <w:autoSpaceDN w:val="0"/>
        <w:adjustRightInd w:val="0"/>
        <w:spacing w:after="0" w:line="240" w:lineRule="auto"/>
        <w:rPr>
          <w:rFonts w:ascii="Times New Roman CYR" w:hAnsi="Times New Roman CYR" w:cs="Times New Roman CYR"/>
        </w:rPr>
      </w:pPr>
    </w:p>
    <w:p w:rsidR="006E7D00" w:rsidRDefault="006E7D00">
      <w:pPr>
        <w:widowControl w:val="0"/>
        <w:autoSpaceDE w:val="0"/>
        <w:autoSpaceDN w:val="0"/>
        <w:adjustRightInd w:val="0"/>
        <w:spacing w:after="0" w:line="240" w:lineRule="auto"/>
        <w:rPr>
          <w:rFonts w:ascii="Times New Roman CYR" w:hAnsi="Times New Roman CYR" w:cs="Times New Roman CYR"/>
        </w:rPr>
        <w:sectPr w:rsidR="006E7D00">
          <w:pgSz w:w="12240" w:h="15840"/>
          <w:pgMar w:top="570" w:right="720" w:bottom="570" w:left="720" w:header="708" w:footer="708" w:gutter="0"/>
          <w:cols w:space="720"/>
          <w:noEndnote/>
        </w:sectPr>
      </w:pPr>
    </w:p>
    <w:p w:rsidR="006E7D00" w:rsidRDefault="006E7D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 Звіт про фінансові результати</w:t>
      </w:r>
    </w:p>
    <w:p w:rsidR="006E7D00" w:rsidRDefault="006E7D0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2025 рік</w:t>
      </w:r>
    </w:p>
    <w:p w:rsidR="006E7D00" w:rsidRDefault="006E7D0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6E7D00" w:rsidRPr="006E7D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6E7D00" w:rsidRPr="006E7D00" w:rsidRDefault="006E7D00">
            <w:pPr>
              <w:widowControl w:val="0"/>
              <w:autoSpaceDE w:val="0"/>
              <w:autoSpaceDN w:val="0"/>
              <w:adjustRightInd w:val="0"/>
              <w:spacing w:after="0" w:line="240" w:lineRule="auto"/>
              <w:jc w:val="right"/>
              <w:rPr>
                <w:rFonts w:ascii="Times New Roman CYR" w:eastAsiaTheme="minorEastAsia" w:hAnsi="Times New Roman CYR" w:cs="Times New Roman CYR"/>
              </w:rPr>
            </w:pPr>
            <w:r w:rsidRPr="006E7D00">
              <w:rPr>
                <w:rFonts w:ascii="Times New Roman CYR" w:eastAsiaTheme="minorEastAsia"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right"/>
              <w:rPr>
                <w:rFonts w:ascii="Times New Roman CYR" w:eastAsiaTheme="minorEastAsia" w:hAnsi="Times New Roman CYR" w:cs="Times New Roman CYR"/>
              </w:rPr>
            </w:pPr>
            <w:r w:rsidRPr="006E7D00">
              <w:rPr>
                <w:rFonts w:ascii="Times New Roman CYR" w:eastAsiaTheme="minorEastAsia" w:hAnsi="Times New Roman CYR" w:cs="Times New Roman CYR"/>
              </w:rPr>
              <w:t>1801007</w:t>
            </w:r>
          </w:p>
        </w:tc>
      </w:tr>
      <w:tr w:rsidR="006E7D00" w:rsidRPr="006E7D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За аналогічний період попереднього року</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19314</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21011,9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321</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420,9</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28</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42,8</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 xml:space="preserve">Разом доходи </w:t>
            </w:r>
            <w:r w:rsidRPr="006E7D00">
              <w:rPr>
                <w:rFonts w:ascii="Times New Roman CYR" w:eastAsiaTheme="minorEastAsia"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19663</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21475,6</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(29211,3)</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(29105,3)</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(9400,6)</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(10591,1)</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 xml:space="preserve">Разом витрати </w:t>
            </w:r>
            <w:r w:rsidRPr="006E7D00">
              <w:rPr>
                <w:rFonts w:ascii="Times New Roman CYR" w:eastAsiaTheme="minorEastAsia"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(38611,9)</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(39696,4)</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-18948,9</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-18220,8</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(0)</w:t>
            </w:r>
          </w:p>
        </w:tc>
      </w:tr>
      <w:tr w:rsidR="006E7D00" w:rsidRPr="006E7D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rPr>
                <w:rFonts w:ascii="Times New Roman CYR" w:eastAsiaTheme="minorEastAsia" w:hAnsi="Times New Roman CYR" w:cs="Times New Roman CYR"/>
              </w:rPr>
            </w:pPr>
            <w:r w:rsidRPr="006E7D00">
              <w:rPr>
                <w:rFonts w:ascii="Times New Roman CYR" w:eastAsiaTheme="minorEastAsia" w:hAnsi="Times New Roman CYR" w:cs="Times New Roman CYR"/>
                <w:b/>
                <w:bCs/>
              </w:rPr>
              <w:t xml:space="preserve">Чистий прибуток (збиток) </w:t>
            </w:r>
            <w:r w:rsidRPr="006E7D00">
              <w:rPr>
                <w:rFonts w:ascii="Times New Roman CYR" w:eastAsiaTheme="minorEastAsia"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-18948,9</w:t>
            </w:r>
          </w:p>
        </w:tc>
        <w:tc>
          <w:tcPr>
            <w:tcW w:w="1645" w:type="dxa"/>
            <w:gridSpan w:val="2"/>
            <w:tcBorders>
              <w:top w:val="single" w:sz="6" w:space="0" w:color="auto"/>
              <w:left w:val="single" w:sz="6" w:space="0" w:color="auto"/>
              <w:bottom w:val="single" w:sz="6" w:space="0" w:color="auto"/>
            </w:tcBorders>
            <w:vAlign w:val="center"/>
          </w:tcPr>
          <w:p w:rsidR="006E7D00" w:rsidRPr="006E7D00" w:rsidRDefault="006E7D00">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6E7D00">
              <w:rPr>
                <w:rFonts w:ascii="Times New Roman CYR" w:eastAsiaTheme="minorEastAsia" w:hAnsi="Times New Roman CYR" w:cs="Times New Roman CYR"/>
              </w:rPr>
              <w:t>-18220,8</w:t>
            </w:r>
          </w:p>
        </w:tc>
      </w:tr>
    </w:tbl>
    <w:p w:rsidR="006E7D00" w:rsidRDefault="006E7D0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6E7D00" w:rsidRDefault="006E7D00">
      <w:pPr>
        <w:widowControl w:val="0"/>
        <w:autoSpaceDE w:val="0"/>
        <w:autoSpaceDN w:val="0"/>
        <w:adjustRightInd w:val="0"/>
        <w:spacing w:after="0" w:line="240" w:lineRule="auto"/>
        <w:jc w:val="both"/>
        <w:rPr>
          <w:rFonts w:ascii="Times New Roman CYR" w:hAnsi="Times New Roman CYR" w:cs="Times New Roman CYR"/>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Сергiй САМОЛЮК</w:t>
      </w:r>
    </w:p>
    <w:p w:rsidR="006E7D00" w:rsidRDefault="006E7D00">
      <w:pPr>
        <w:widowControl w:val="0"/>
        <w:autoSpaceDE w:val="0"/>
        <w:autoSpaceDN w:val="0"/>
        <w:adjustRightInd w:val="0"/>
        <w:spacing w:after="0" w:line="240" w:lineRule="auto"/>
        <w:jc w:val="both"/>
        <w:rPr>
          <w:rFonts w:ascii="Times New Roman CYR" w:hAnsi="Times New Roman CYR" w:cs="Times New Roman CYR"/>
        </w:rPr>
      </w:pPr>
    </w:p>
    <w:p w:rsidR="006E7D00" w:rsidRDefault="006E7D0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Микола МОСКАЛЕНКО</w:t>
      </w:r>
    </w:p>
    <w:p w:rsidR="006E7D00" w:rsidRDefault="006E7D00">
      <w:pPr>
        <w:widowControl w:val="0"/>
        <w:autoSpaceDE w:val="0"/>
        <w:autoSpaceDN w:val="0"/>
        <w:adjustRightInd w:val="0"/>
        <w:spacing w:after="0" w:line="240" w:lineRule="auto"/>
        <w:rPr>
          <w:rFonts w:ascii="Times New Roman CYR" w:hAnsi="Times New Roman CYR" w:cs="Times New Roman CYR"/>
        </w:rPr>
      </w:pPr>
    </w:p>
    <w:sectPr w:rsidR="006E7D00">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FE2" w:rsidRDefault="007D2FE2" w:rsidP="006E7D00">
      <w:pPr>
        <w:spacing w:after="0" w:line="240" w:lineRule="auto"/>
      </w:pPr>
      <w:r>
        <w:separator/>
      </w:r>
    </w:p>
  </w:endnote>
  <w:endnote w:type="continuationSeparator" w:id="0">
    <w:p w:rsidR="007D2FE2" w:rsidRDefault="007D2FE2" w:rsidP="006E7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FE2" w:rsidRDefault="007D2FE2" w:rsidP="006E7D00">
      <w:pPr>
        <w:spacing w:after="0" w:line="240" w:lineRule="auto"/>
      </w:pPr>
      <w:r>
        <w:separator/>
      </w:r>
    </w:p>
  </w:footnote>
  <w:footnote w:type="continuationSeparator" w:id="0">
    <w:p w:rsidR="007D2FE2" w:rsidRDefault="007D2FE2" w:rsidP="006E7D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D00" w:rsidRDefault="006E7D00">
    <w:pPr>
      <w:pStyle w:val="a3"/>
      <w:jc w:val="center"/>
    </w:pPr>
    <w:fldSimple w:instr=" PAGE   \* MERGEFORMAT ">
      <w:r w:rsidR="007D2FE2">
        <w:rPr>
          <w:noProof/>
        </w:rPr>
        <w:t>1</w:t>
      </w:r>
    </w:fldSimple>
  </w:p>
  <w:p w:rsidR="006E7D00" w:rsidRDefault="006E7D0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6E7D00"/>
    <w:rsid w:val="00451024"/>
    <w:rsid w:val="006E7D00"/>
    <w:rsid w:val="007C3D5A"/>
    <w:rsid w:val="007D2FE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7D00"/>
    <w:pPr>
      <w:tabs>
        <w:tab w:val="center" w:pos="4819"/>
        <w:tab w:val="right" w:pos="9639"/>
      </w:tabs>
    </w:pPr>
  </w:style>
  <w:style w:type="character" w:customStyle="1" w:styleId="a4">
    <w:name w:val="Верхний колонтитул Знак"/>
    <w:basedOn w:val="a0"/>
    <w:link w:val="a3"/>
    <w:uiPriority w:val="99"/>
    <w:rsid w:val="006E7D00"/>
  </w:style>
  <w:style w:type="paragraph" w:styleId="a5">
    <w:name w:val="footer"/>
    <w:basedOn w:val="a"/>
    <w:link w:val="a6"/>
    <w:uiPriority w:val="99"/>
    <w:semiHidden/>
    <w:unhideWhenUsed/>
    <w:rsid w:val="006E7D00"/>
    <w:pPr>
      <w:tabs>
        <w:tab w:val="center" w:pos="4819"/>
        <w:tab w:val="right" w:pos="9639"/>
      </w:tabs>
    </w:pPr>
  </w:style>
  <w:style w:type="character" w:customStyle="1" w:styleId="a6">
    <w:name w:val="Нижний колонтитул Знак"/>
    <w:basedOn w:val="a0"/>
    <w:link w:val="a5"/>
    <w:uiPriority w:val="99"/>
    <w:semiHidden/>
    <w:rsid w:val="006E7D00"/>
  </w:style>
  <w:style w:type="table" w:styleId="a7">
    <w:name w:val="Table Grid"/>
    <w:basedOn w:val="a1"/>
    <w:uiPriority w:val="59"/>
    <w:rsid w:val="006E7D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60178</Words>
  <Characters>34303</Characters>
  <Application>Microsoft Office Word</Application>
  <DocSecurity>0</DocSecurity>
  <Lines>285</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2026-04-28T08:00:00Z</dcterms:created>
  <dcterms:modified xsi:type="dcterms:W3CDTF">2026-04-28T08:01:00Z</dcterms:modified>
</cp:coreProperties>
</file>